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5741C3" w14:textId="1339EC74" w:rsidR="00D001F9" w:rsidRDefault="00D001F9" w:rsidP="00D001F9">
      <w:pPr>
        <w:pStyle w:val="IUCrarticletitle"/>
      </w:pPr>
      <w:bookmarkStart w:id="0" w:name="_Hlk124350356"/>
      <w:bookmarkStart w:id="1" w:name="OLE_LINK1"/>
      <w:bookmarkStart w:id="2" w:name="OLE_LINK2"/>
      <w:bookmarkStart w:id="3" w:name="OLE_LINK3"/>
      <w:bookmarkStart w:id="4" w:name="_Hlk127472066"/>
      <w:r>
        <w:t xml:space="preserve">A MHz X-ray diffraction set-up for dynamic compression experiments in the diamond anvil cell </w:t>
      </w:r>
    </w:p>
    <w:p w14:paraId="0C82C27D" w14:textId="77777777" w:rsidR="008D471B" w:rsidRDefault="008D471B">
      <w:pPr>
        <w:rPr>
          <w:rStyle w:val="IUCrsanstext"/>
          <w:szCs w:val="22"/>
        </w:rPr>
      </w:pPr>
      <w:r>
        <w:rPr>
          <w:rStyle w:val="IUCrsanstextgreysmall"/>
          <w:szCs w:val="22"/>
        </w:rPr>
        <w:fldChar w:fldCharType="begin"/>
      </w:r>
      <w:r>
        <w:rPr>
          <w:rStyle w:val="IUCrsanstextgreysmall"/>
          <w:szCs w:val="22"/>
        </w:rPr>
        <w:instrText xml:space="preserve"> MACROBUTTON IUCr_authors.IUCrA_editAuthors Authors </w:instrText>
      </w:r>
      <w:r>
        <w:rPr>
          <w:rStyle w:val="IUCrsanstextgreysmall"/>
          <w:szCs w:val="22"/>
        </w:rPr>
        <w:fldChar w:fldCharType="end"/>
      </w:r>
    </w:p>
    <w:bookmarkEnd w:id="0"/>
    <w:bookmarkEnd w:id="1"/>
    <w:bookmarkEnd w:id="2"/>
    <w:bookmarkEnd w:id="3"/>
    <w:bookmarkEnd w:id="4"/>
    <w:p w14:paraId="6696E210" w14:textId="77777777" w:rsidR="00023E24" w:rsidRDefault="00023E24" w:rsidP="00023E24">
      <w:pPr>
        <w:spacing w:line="240" w:lineRule="auto"/>
      </w:pPr>
      <w:r>
        <w:fldChar w:fldCharType="begin"/>
      </w:r>
      <w:r>
        <w:instrText>ADDIN IUCrAuthors</w:instrText>
      </w:r>
      <w:r>
        <w:fldChar w:fldCharType="separate"/>
      </w:r>
    </w:p>
    <w:p w14:paraId="456B6B56" w14:textId="77777777" w:rsidR="00023E24" w:rsidRDefault="00023E24" w:rsidP="00023E24">
      <w:r>
        <w:rPr>
          <w:b/>
          <w:bCs/>
        </w:rPr>
        <w:t>Rachel J. Husband</w:t>
      </w:r>
      <w:r>
        <w:rPr>
          <w:b/>
          <w:bCs/>
          <w:vertAlign w:val="superscript"/>
        </w:rPr>
        <w:t>a</w:t>
      </w:r>
      <w:r>
        <w:rPr>
          <w:b/>
          <w:bCs/>
        </w:rPr>
        <w:t>*, Cornelius Strohm</w:t>
      </w:r>
      <w:r>
        <w:rPr>
          <w:b/>
          <w:bCs/>
          <w:vertAlign w:val="superscript"/>
        </w:rPr>
        <w:t>a</w:t>
      </w:r>
      <w:r>
        <w:rPr>
          <w:b/>
          <w:bCs/>
        </w:rPr>
        <w:t>, Karen Appel</w:t>
      </w:r>
      <w:r>
        <w:rPr>
          <w:b/>
          <w:bCs/>
          <w:vertAlign w:val="superscript"/>
        </w:rPr>
        <w:t>b</w:t>
      </w:r>
      <w:r>
        <w:rPr>
          <w:b/>
          <w:bCs/>
        </w:rPr>
        <w:t>, Orianna B. Ball</w:t>
      </w:r>
      <w:r>
        <w:rPr>
          <w:b/>
          <w:bCs/>
          <w:vertAlign w:val="superscript"/>
        </w:rPr>
        <w:t>c</w:t>
      </w:r>
      <w:r>
        <w:rPr>
          <w:b/>
          <w:bCs/>
        </w:rPr>
        <w:t>, Richard Briggs</w:t>
      </w:r>
      <w:r>
        <w:rPr>
          <w:b/>
          <w:bCs/>
          <w:vertAlign w:val="superscript"/>
        </w:rPr>
        <w:t>d</w:t>
      </w:r>
      <w:r>
        <w:rPr>
          <w:b/>
          <w:bCs/>
        </w:rPr>
        <w:t>, Johannes Buchen</w:t>
      </w:r>
      <w:r>
        <w:rPr>
          <w:b/>
          <w:bCs/>
          <w:vertAlign w:val="superscript"/>
        </w:rPr>
        <w:t>e</w:t>
      </w:r>
      <w:r>
        <w:rPr>
          <w:b/>
          <w:bCs/>
        </w:rPr>
        <w:t>, Valerio Cerantola</w:t>
      </w:r>
      <w:r>
        <w:rPr>
          <w:b/>
          <w:bCs/>
          <w:vertAlign w:val="superscript"/>
        </w:rPr>
        <w:t>b1</w:t>
      </w:r>
      <w:r>
        <w:rPr>
          <w:b/>
          <w:bCs/>
        </w:rPr>
        <w:t>, Stella Chariton</w:t>
      </w:r>
      <w:r>
        <w:rPr>
          <w:b/>
          <w:bCs/>
          <w:vertAlign w:val="superscript"/>
        </w:rPr>
        <w:t>f</w:t>
      </w:r>
      <w:r>
        <w:rPr>
          <w:b/>
          <w:bCs/>
        </w:rPr>
        <w:t>, Amy L. Coleman</w:t>
      </w:r>
      <w:r>
        <w:rPr>
          <w:b/>
          <w:bCs/>
          <w:vertAlign w:val="superscript"/>
        </w:rPr>
        <w:t>d</w:t>
      </w:r>
      <w:r>
        <w:rPr>
          <w:b/>
          <w:bCs/>
        </w:rPr>
        <w:t>, Hyunchae Cynn</w:t>
      </w:r>
      <w:r>
        <w:rPr>
          <w:b/>
          <w:bCs/>
          <w:vertAlign w:val="superscript"/>
        </w:rPr>
        <w:t>d</w:t>
      </w:r>
      <w:r>
        <w:rPr>
          <w:b/>
          <w:bCs/>
        </w:rPr>
        <w:t>, Dana Dattelbaum</w:t>
      </w:r>
      <w:r>
        <w:rPr>
          <w:b/>
          <w:bCs/>
          <w:vertAlign w:val="superscript"/>
        </w:rPr>
        <w:t>g</w:t>
      </w:r>
      <w:r>
        <w:rPr>
          <w:b/>
          <w:bCs/>
        </w:rPr>
        <w:t>, Anand Dwivedi</w:t>
      </w:r>
      <w:r>
        <w:rPr>
          <w:b/>
          <w:bCs/>
          <w:vertAlign w:val="superscript"/>
        </w:rPr>
        <w:t>b</w:t>
      </w:r>
      <w:r>
        <w:rPr>
          <w:b/>
          <w:bCs/>
        </w:rPr>
        <w:t>, Jon H. Eggert</w:t>
      </w:r>
      <w:r>
        <w:rPr>
          <w:b/>
          <w:bCs/>
          <w:vertAlign w:val="superscript"/>
        </w:rPr>
        <w:t>d</w:t>
      </w:r>
      <w:r>
        <w:rPr>
          <w:b/>
          <w:bCs/>
        </w:rPr>
        <w:t>, Lars Ehm</w:t>
      </w:r>
      <w:r>
        <w:rPr>
          <w:b/>
          <w:bCs/>
          <w:vertAlign w:val="superscript"/>
        </w:rPr>
        <w:t>h</w:t>
      </w:r>
      <w:r>
        <w:rPr>
          <w:b/>
          <w:bCs/>
        </w:rPr>
        <w:t>, William J. Evans</w:t>
      </w:r>
      <w:r>
        <w:rPr>
          <w:b/>
          <w:bCs/>
          <w:vertAlign w:val="superscript"/>
        </w:rPr>
        <w:t>d</w:t>
      </w:r>
      <w:r>
        <w:rPr>
          <w:b/>
          <w:bCs/>
        </w:rPr>
        <w:t>, Konstantin Glazyrin</w:t>
      </w:r>
      <w:r>
        <w:rPr>
          <w:b/>
          <w:bCs/>
          <w:vertAlign w:val="superscript"/>
        </w:rPr>
        <w:t>a</w:t>
      </w:r>
      <w:r>
        <w:rPr>
          <w:b/>
          <w:bCs/>
        </w:rPr>
        <w:t>, Alexander F. Goncharov</w:t>
      </w:r>
      <w:r>
        <w:rPr>
          <w:b/>
          <w:bCs/>
          <w:vertAlign w:val="superscript"/>
        </w:rPr>
        <w:t>i</w:t>
      </w:r>
      <w:r>
        <w:rPr>
          <w:b/>
          <w:bCs/>
        </w:rPr>
        <w:t>, Heinz Graafsma</w:t>
      </w:r>
      <w:r>
        <w:rPr>
          <w:b/>
          <w:bCs/>
          <w:vertAlign w:val="superscript"/>
        </w:rPr>
        <w:t>a</w:t>
      </w:r>
      <w:r>
        <w:rPr>
          <w:b/>
          <w:bCs/>
        </w:rPr>
        <w:t>, Alex Howard</w:t>
      </w:r>
      <w:r>
        <w:rPr>
          <w:b/>
          <w:bCs/>
          <w:vertAlign w:val="superscript"/>
        </w:rPr>
        <w:t>j</w:t>
      </w:r>
      <w:r>
        <w:rPr>
          <w:b/>
          <w:bCs/>
        </w:rPr>
        <w:t>, Larissa Huston</w:t>
      </w:r>
      <w:r>
        <w:rPr>
          <w:b/>
          <w:bCs/>
          <w:vertAlign w:val="superscript"/>
        </w:rPr>
        <w:t>g</w:t>
      </w:r>
      <w:r>
        <w:rPr>
          <w:b/>
          <w:bCs/>
        </w:rPr>
        <w:t>, Trevor Hutchinson</w:t>
      </w:r>
      <w:r>
        <w:rPr>
          <w:b/>
          <w:bCs/>
          <w:vertAlign w:val="superscript"/>
        </w:rPr>
        <w:t>d</w:t>
      </w:r>
      <w:r>
        <w:rPr>
          <w:b/>
          <w:bCs/>
        </w:rPr>
        <w:t>, Huijeong Hwang</w:t>
      </w:r>
      <w:r>
        <w:rPr>
          <w:b/>
          <w:bCs/>
          <w:vertAlign w:val="superscript"/>
        </w:rPr>
        <w:t>a2</w:t>
      </w:r>
      <w:r>
        <w:rPr>
          <w:b/>
          <w:bCs/>
        </w:rPr>
        <w:t>, Sony Jacob</w:t>
      </w:r>
      <w:r>
        <w:rPr>
          <w:b/>
          <w:bCs/>
          <w:vertAlign w:val="superscript"/>
        </w:rPr>
        <w:t>d</w:t>
      </w:r>
      <w:r>
        <w:rPr>
          <w:b/>
          <w:bCs/>
        </w:rPr>
        <w:t>, Johannes Kaa</w:t>
      </w:r>
      <w:r>
        <w:rPr>
          <w:b/>
          <w:bCs/>
          <w:vertAlign w:val="superscript"/>
        </w:rPr>
        <w:t>kb</w:t>
      </w:r>
      <w:r>
        <w:rPr>
          <w:b/>
          <w:bCs/>
        </w:rPr>
        <w:t>, Jaeyong Kim</w:t>
      </w:r>
      <w:r>
        <w:rPr>
          <w:b/>
          <w:bCs/>
          <w:vertAlign w:val="superscript"/>
        </w:rPr>
        <w:t>l</w:t>
      </w:r>
      <w:r>
        <w:rPr>
          <w:b/>
          <w:bCs/>
        </w:rPr>
        <w:t>, Minseob Kim</w:t>
      </w:r>
      <w:r>
        <w:rPr>
          <w:b/>
          <w:bCs/>
          <w:vertAlign w:val="superscript"/>
        </w:rPr>
        <w:t>j</w:t>
      </w:r>
      <w:r>
        <w:rPr>
          <w:b/>
          <w:bCs/>
        </w:rPr>
        <w:t>, Egor Koemets</w:t>
      </w:r>
      <w:r>
        <w:rPr>
          <w:b/>
          <w:bCs/>
          <w:vertAlign w:val="superscript"/>
        </w:rPr>
        <w:t>e</w:t>
      </w:r>
      <w:r>
        <w:rPr>
          <w:b/>
          <w:bCs/>
        </w:rPr>
        <w:t>, Zuzana Konôpková</w:t>
      </w:r>
      <w:r>
        <w:rPr>
          <w:b/>
          <w:bCs/>
          <w:vertAlign w:val="superscript"/>
        </w:rPr>
        <w:t>b</w:t>
      </w:r>
      <w:r>
        <w:rPr>
          <w:b/>
          <w:bCs/>
        </w:rPr>
        <w:t>, Falko Langenhorst</w:t>
      </w:r>
      <w:r>
        <w:rPr>
          <w:b/>
          <w:bCs/>
          <w:vertAlign w:val="superscript"/>
        </w:rPr>
        <w:t>m</w:t>
      </w:r>
      <w:r>
        <w:rPr>
          <w:b/>
          <w:bCs/>
        </w:rPr>
        <w:t>, Torsten Laurus</w:t>
      </w:r>
      <w:r>
        <w:rPr>
          <w:b/>
          <w:bCs/>
          <w:vertAlign w:val="superscript"/>
        </w:rPr>
        <w:t>a</w:t>
      </w:r>
      <w:r>
        <w:rPr>
          <w:b/>
          <w:bCs/>
        </w:rPr>
        <w:t>, Xinyang Li</w:t>
      </w:r>
      <w:r>
        <w:rPr>
          <w:b/>
          <w:bCs/>
          <w:vertAlign w:val="superscript"/>
        </w:rPr>
        <w:t>a3</w:t>
      </w:r>
      <w:r>
        <w:rPr>
          <w:b/>
          <w:bCs/>
        </w:rPr>
        <w:t>, Jona Mainberger</w:t>
      </w:r>
      <w:r>
        <w:rPr>
          <w:b/>
          <w:bCs/>
          <w:vertAlign w:val="superscript"/>
        </w:rPr>
        <w:t>a</w:t>
      </w:r>
      <w:r>
        <w:rPr>
          <w:b/>
          <w:bCs/>
        </w:rPr>
        <w:t>, Hauke Marquardt</w:t>
      </w:r>
      <w:r>
        <w:rPr>
          <w:b/>
          <w:bCs/>
          <w:vertAlign w:val="superscript"/>
        </w:rPr>
        <w:t>e</w:t>
      </w:r>
      <w:r>
        <w:rPr>
          <w:b/>
          <w:bCs/>
        </w:rPr>
        <w:t>, Emma E. McBride</w:t>
      </w:r>
      <w:r>
        <w:rPr>
          <w:b/>
          <w:bCs/>
          <w:vertAlign w:val="superscript"/>
        </w:rPr>
        <w:t>n4</w:t>
      </w:r>
      <w:r>
        <w:rPr>
          <w:b/>
          <w:bCs/>
        </w:rPr>
        <w:t>, Christopher McGuire</w:t>
      </w:r>
      <w:r>
        <w:rPr>
          <w:b/>
          <w:bCs/>
          <w:vertAlign w:val="superscript"/>
        </w:rPr>
        <w:t>d</w:t>
      </w:r>
      <w:r>
        <w:rPr>
          <w:b/>
          <w:bCs/>
        </w:rPr>
        <w:t>, James D. McHardy</w:t>
      </w:r>
      <w:r>
        <w:rPr>
          <w:b/>
          <w:bCs/>
          <w:vertAlign w:val="superscript"/>
        </w:rPr>
        <w:t>c</w:t>
      </w:r>
      <w:r>
        <w:rPr>
          <w:b/>
          <w:bCs/>
        </w:rPr>
        <w:t>, Malcolm I. McMahon</w:t>
      </w:r>
      <w:r>
        <w:rPr>
          <w:b/>
          <w:bCs/>
          <w:vertAlign w:val="superscript"/>
        </w:rPr>
        <w:t>c</w:t>
      </w:r>
      <w:r>
        <w:rPr>
          <w:b/>
          <w:bCs/>
        </w:rPr>
        <w:t>, R. Stewart McWilliams</w:t>
      </w:r>
      <w:r>
        <w:rPr>
          <w:b/>
          <w:bCs/>
          <w:vertAlign w:val="superscript"/>
        </w:rPr>
        <w:t>c</w:t>
      </w:r>
      <w:r>
        <w:rPr>
          <w:b/>
          <w:bCs/>
        </w:rPr>
        <w:t>, Alba S. J. Méndez</w:t>
      </w:r>
      <w:r>
        <w:rPr>
          <w:b/>
          <w:bCs/>
          <w:vertAlign w:val="superscript"/>
        </w:rPr>
        <w:t>a</w:t>
      </w:r>
      <w:r>
        <w:rPr>
          <w:b/>
          <w:bCs/>
        </w:rPr>
        <w:t>, Anshuman Mondal</w:t>
      </w:r>
      <w:r>
        <w:rPr>
          <w:b/>
          <w:bCs/>
          <w:vertAlign w:val="superscript"/>
        </w:rPr>
        <w:t>o</w:t>
      </w:r>
      <w:r>
        <w:rPr>
          <w:b/>
          <w:bCs/>
        </w:rPr>
        <w:t>, Guillaume Morard</w:t>
      </w:r>
      <w:r>
        <w:rPr>
          <w:b/>
          <w:bCs/>
          <w:vertAlign w:val="superscript"/>
        </w:rPr>
        <w:t>p</w:t>
      </w:r>
      <w:r>
        <w:rPr>
          <w:b/>
          <w:bCs/>
        </w:rPr>
        <w:t>, Earl F. O'Bannon</w:t>
      </w:r>
      <w:r>
        <w:rPr>
          <w:b/>
          <w:bCs/>
          <w:vertAlign w:val="superscript"/>
        </w:rPr>
        <w:t>d</w:t>
      </w:r>
      <w:r>
        <w:rPr>
          <w:b/>
          <w:bCs/>
        </w:rPr>
        <w:t>, Christoph Otzen</w:t>
      </w:r>
      <w:r>
        <w:rPr>
          <w:b/>
          <w:bCs/>
          <w:vertAlign w:val="superscript"/>
        </w:rPr>
        <w:t>m</w:t>
      </w:r>
      <w:r>
        <w:rPr>
          <w:b/>
          <w:bCs/>
        </w:rPr>
        <w:t>, Charles M. Pépin</w:t>
      </w:r>
      <w:r>
        <w:rPr>
          <w:b/>
          <w:bCs/>
          <w:vertAlign w:val="superscript"/>
        </w:rPr>
        <w:t>q</w:t>
      </w:r>
      <w:r>
        <w:rPr>
          <w:b/>
          <w:bCs/>
        </w:rPr>
        <w:t>, Vitali B. Prakapenka</w:t>
      </w:r>
      <w:r>
        <w:rPr>
          <w:b/>
          <w:bCs/>
          <w:vertAlign w:val="superscript"/>
        </w:rPr>
        <w:t>f</w:t>
      </w:r>
      <w:r>
        <w:rPr>
          <w:b/>
          <w:bCs/>
        </w:rPr>
        <w:t>, Clemens Prescher</w:t>
      </w:r>
      <w:r>
        <w:rPr>
          <w:b/>
          <w:bCs/>
          <w:vertAlign w:val="superscript"/>
        </w:rPr>
        <w:t>r</w:t>
      </w:r>
      <w:r>
        <w:rPr>
          <w:b/>
          <w:bCs/>
        </w:rPr>
        <w:t>, Thomas R. Preston</w:t>
      </w:r>
      <w:r>
        <w:rPr>
          <w:b/>
          <w:bCs/>
          <w:vertAlign w:val="superscript"/>
        </w:rPr>
        <w:t>b</w:t>
      </w:r>
      <w:r>
        <w:rPr>
          <w:b/>
          <w:bCs/>
        </w:rPr>
        <w:t>, Ronald Redmer</w:t>
      </w:r>
      <w:r>
        <w:rPr>
          <w:b/>
          <w:bCs/>
          <w:vertAlign w:val="superscript"/>
        </w:rPr>
        <w:t>s</w:t>
      </w:r>
      <w:r>
        <w:rPr>
          <w:b/>
          <w:bCs/>
        </w:rPr>
        <w:t>, Michael Roeper</w:t>
      </w:r>
      <w:r>
        <w:rPr>
          <w:b/>
          <w:bCs/>
          <w:vertAlign w:val="superscript"/>
        </w:rPr>
        <w:t>a</w:t>
      </w:r>
      <w:r>
        <w:rPr>
          <w:b/>
          <w:bCs/>
        </w:rPr>
        <w:t>, Carmen Sanchez-Valle</w:t>
      </w:r>
      <w:r>
        <w:rPr>
          <w:b/>
          <w:bCs/>
          <w:vertAlign w:val="superscript"/>
        </w:rPr>
        <w:t>o</w:t>
      </w:r>
      <w:r>
        <w:rPr>
          <w:b/>
          <w:bCs/>
        </w:rPr>
        <w:t>, Dean Smith</w:t>
      </w:r>
      <w:r>
        <w:rPr>
          <w:b/>
          <w:bCs/>
          <w:vertAlign w:val="superscript"/>
        </w:rPr>
        <w:t>t5</w:t>
      </w:r>
      <w:r>
        <w:rPr>
          <w:b/>
          <w:bCs/>
        </w:rPr>
        <w:t>, Raymond F. Smith</w:t>
      </w:r>
      <w:r>
        <w:rPr>
          <w:b/>
          <w:bCs/>
          <w:vertAlign w:val="superscript"/>
        </w:rPr>
        <w:t>d</w:t>
      </w:r>
      <w:r>
        <w:rPr>
          <w:b/>
          <w:bCs/>
        </w:rPr>
        <w:t>, Daniel Sneed</w:t>
      </w:r>
      <w:r>
        <w:rPr>
          <w:b/>
          <w:bCs/>
          <w:vertAlign w:val="superscript"/>
        </w:rPr>
        <w:t>d</w:t>
      </w:r>
      <w:r>
        <w:rPr>
          <w:b/>
          <w:bCs/>
        </w:rPr>
        <w:t>, Sergio Speziale</w:t>
      </w:r>
      <w:r>
        <w:rPr>
          <w:b/>
          <w:bCs/>
          <w:vertAlign w:val="superscript"/>
        </w:rPr>
        <w:t>u</w:t>
      </w:r>
      <w:r>
        <w:rPr>
          <w:b/>
          <w:bCs/>
        </w:rPr>
        <w:t>, Tobias Spitzbart</w:t>
      </w:r>
      <w:r>
        <w:rPr>
          <w:b/>
          <w:bCs/>
          <w:vertAlign w:val="superscript"/>
        </w:rPr>
        <w:t>a</w:t>
      </w:r>
      <w:r>
        <w:rPr>
          <w:b/>
          <w:bCs/>
        </w:rPr>
        <w:t>, Stephan Stern</w:t>
      </w:r>
      <w:r>
        <w:rPr>
          <w:b/>
          <w:bCs/>
          <w:vertAlign w:val="superscript"/>
        </w:rPr>
        <w:t>a6</w:t>
      </w:r>
      <w:r>
        <w:rPr>
          <w:b/>
          <w:bCs/>
        </w:rPr>
        <w:t>, Blake T. Sturtevant</w:t>
      </w:r>
      <w:r>
        <w:rPr>
          <w:b/>
          <w:bCs/>
          <w:vertAlign w:val="superscript"/>
        </w:rPr>
        <w:t>g</w:t>
      </w:r>
      <w:r>
        <w:rPr>
          <w:b/>
          <w:bCs/>
        </w:rPr>
        <w:t>, Jolanta Sztuk-Dambietz</w:t>
      </w:r>
      <w:r>
        <w:rPr>
          <w:b/>
          <w:bCs/>
          <w:vertAlign w:val="superscript"/>
        </w:rPr>
        <w:t>b</w:t>
      </w:r>
      <w:r>
        <w:rPr>
          <w:b/>
          <w:bCs/>
        </w:rPr>
        <w:t>, Peter Talkovski</w:t>
      </w:r>
      <w:r>
        <w:rPr>
          <w:b/>
          <w:bCs/>
          <w:vertAlign w:val="superscript"/>
        </w:rPr>
        <w:t>a</w:t>
      </w:r>
      <w:r>
        <w:rPr>
          <w:b/>
          <w:bCs/>
        </w:rPr>
        <w:t>, Nenad Velisavljevic</w:t>
      </w:r>
      <w:r>
        <w:rPr>
          <w:b/>
          <w:bCs/>
          <w:vertAlign w:val="superscript"/>
        </w:rPr>
        <w:t>d</w:t>
      </w:r>
      <w:r>
        <w:rPr>
          <w:b/>
          <w:bCs/>
        </w:rPr>
        <w:t>, Cara Vennari</w:t>
      </w:r>
      <w:r>
        <w:rPr>
          <w:b/>
          <w:bCs/>
          <w:vertAlign w:val="superscript"/>
        </w:rPr>
        <w:t>d</w:t>
      </w:r>
      <w:r>
        <w:rPr>
          <w:b/>
          <w:bCs/>
        </w:rPr>
        <w:t>, Zhongyan Wu</w:t>
      </w:r>
      <w:r>
        <w:rPr>
          <w:b/>
          <w:bCs/>
          <w:vertAlign w:val="superscript"/>
        </w:rPr>
        <w:t>l</w:t>
      </w:r>
      <w:r>
        <w:rPr>
          <w:b/>
          <w:bCs/>
        </w:rPr>
        <w:t>, Choong-Shik Yoo</w:t>
      </w:r>
      <w:r>
        <w:rPr>
          <w:b/>
          <w:bCs/>
          <w:vertAlign w:val="superscript"/>
        </w:rPr>
        <w:t>j</w:t>
      </w:r>
      <w:r>
        <w:rPr>
          <w:b/>
          <w:bCs/>
        </w:rPr>
        <w:t>, Ulf Zastrau</w:t>
      </w:r>
      <w:r>
        <w:rPr>
          <w:b/>
          <w:bCs/>
          <w:vertAlign w:val="superscript"/>
        </w:rPr>
        <w:t>b</w:t>
      </w:r>
      <w:r>
        <w:rPr>
          <w:b/>
          <w:bCs/>
        </w:rPr>
        <w:t>, Zsolt Jenei</w:t>
      </w:r>
      <w:r>
        <w:rPr>
          <w:b/>
          <w:bCs/>
          <w:vertAlign w:val="superscript"/>
        </w:rPr>
        <w:t>d</w:t>
      </w:r>
      <w:r>
        <w:rPr>
          <w:b/>
          <w:bCs/>
        </w:rPr>
        <w:t xml:space="preserve"> and Hanns-Peter Liermann</w:t>
      </w:r>
      <w:r>
        <w:rPr>
          <w:b/>
          <w:bCs/>
          <w:vertAlign w:val="superscript"/>
        </w:rPr>
        <w:t>a</w:t>
      </w:r>
      <w:r>
        <w:rPr>
          <w:b/>
          <w:bCs/>
        </w:rPr>
        <w:t>*</w:t>
      </w:r>
    </w:p>
    <w:p w14:paraId="45018ED2" w14:textId="77777777" w:rsidR="00023E24" w:rsidRDefault="00023E24" w:rsidP="00023E24">
      <w:r>
        <w:rPr>
          <w:vertAlign w:val="superscript"/>
        </w:rPr>
        <w:t>a</w:t>
      </w:r>
      <w:r>
        <w:t>Deutsches Elektronen-Synchrotron DESY, Notkestr. 85, 22607 Hamburg, Germany</w:t>
      </w:r>
      <w:r>
        <w:br/>
      </w:r>
      <w:r>
        <w:rPr>
          <w:vertAlign w:val="superscript"/>
        </w:rPr>
        <w:t>b</w:t>
      </w:r>
      <w:r>
        <w:t>European XFEL, Holzkoppel 4, Schenefeld, 22869, Germany</w:t>
      </w:r>
      <w:r>
        <w:br/>
      </w:r>
      <w:r>
        <w:rPr>
          <w:vertAlign w:val="superscript"/>
        </w:rPr>
        <w:t>c</w:t>
      </w:r>
      <w:r>
        <w:t>The School of Physics and Astronomy, Centre for Science at Extreme Conditions, and SUPA, University of Edinburgh, Peter Guthrie Tait Road, Edinburgh, EH9 3FD, UK</w:t>
      </w:r>
      <w:r>
        <w:br/>
      </w:r>
      <w:r>
        <w:rPr>
          <w:vertAlign w:val="superscript"/>
        </w:rPr>
        <w:t>d</w:t>
      </w:r>
      <w:r>
        <w:t>Lawrence Livermore National Laboratory, Physical and Life Science Directorate, Livermore, California, 94550, United States</w:t>
      </w:r>
      <w:r>
        <w:br/>
      </w:r>
      <w:r>
        <w:rPr>
          <w:vertAlign w:val="superscript"/>
        </w:rPr>
        <w:t>e</w:t>
      </w:r>
      <w:r>
        <w:t>University of Oxford, Department of Earth Sciences, South Parks Road, Oxford, OX1 3AN, UK</w:t>
      </w:r>
      <w:r>
        <w:br/>
      </w:r>
      <w:r>
        <w:rPr>
          <w:vertAlign w:val="superscript"/>
        </w:rPr>
        <w:t>f</w:t>
      </w:r>
      <w:r>
        <w:t>The University of Chicago, Consortium for Advanced Radiation Sources, 5640 South Ellis Avenue Chicago, IL 60637, USA</w:t>
      </w:r>
      <w:r>
        <w:br/>
      </w:r>
      <w:r>
        <w:rPr>
          <w:vertAlign w:val="superscript"/>
        </w:rPr>
        <w:t>g</w:t>
      </w:r>
      <w:r>
        <w:t>Los Alamos National Laboratory, Shock and Detonation Physics (M-9), PO 1663, Los Alamos, NM 87545, USA</w:t>
      </w:r>
      <w:r>
        <w:br/>
      </w:r>
      <w:r>
        <w:rPr>
          <w:vertAlign w:val="superscript"/>
        </w:rPr>
        <w:t>h</w:t>
      </w:r>
      <w:r>
        <w:t>Stony Brook University, Department of Geosciences, 255 Earth and Space Sciences Building (ESS), Stony Brook University, Stony Brook, NY 11794-2100, USA</w:t>
      </w:r>
      <w:r>
        <w:br/>
      </w:r>
      <w:r>
        <w:rPr>
          <w:vertAlign w:val="superscript"/>
        </w:rPr>
        <w:t>i</w:t>
      </w:r>
      <w:r>
        <w:t>Carnegie Science, Earth and Planets Laboratory, 5241 Broad Branch Road, NW, Washington, DC 20015, USA</w:t>
      </w:r>
      <w:r>
        <w:br/>
      </w:r>
      <w:r>
        <w:rPr>
          <w:vertAlign w:val="superscript"/>
        </w:rPr>
        <w:t>j</w:t>
      </w:r>
      <w:r>
        <w:t>Washington State University, Department of Chemistry and Institute for Shock Physics, Pullman, Washington, 99164, USA</w:t>
      </w:r>
      <w:r>
        <w:br/>
      </w:r>
      <w:r>
        <w:rPr>
          <w:vertAlign w:val="superscript"/>
        </w:rPr>
        <w:lastRenderedPageBreak/>
        <w:t>k</w:t>
      </w:r>
      <w:r>
        <w:t>Technische Universität Dortmund, Fakultät Physik/DELTA, Maria-Goeppert-Mayer-Straße 2, Dortmund, 44227, Germany</w:t>
      </w:r>
      <w:r>
        <w:br/>
      </w:r>
      <w:r>
        <w:rPr>
          <w:vertAlign w:val="superscript"/>
        </w:rPr>
        <w:t>l</w:t>
      </w:r>
      <w:r>
        <w:t>Hanyang University, Department of Physics, 17 Haengdang Dong, Seongdong gu Seoul, 133-791 Korea, Republic of Korea</w:t>
      </w:r>
      <w:r>
        <w:br/>
      </w:r>
      <w:r>
        <w:rPr>
          <w:vertAlign w:val="superscript"/>
        </w:rPr>
        <w:t>m</w:t>
      </w:r>
      <w:r>
        <w:t>Friedrich-Schiller-Universität Jena, Institut für Geowissenschaften, Burgweg 11, Jena, 07749, Germany</w:t>
      </w:r>
      <w:r>
        <w:br/>
      </w:r>
      <w:r>
        <w:rPr>
          <w:vertAlign w:val="superscript"/>
        </w:rPr>
        <w:t>n</w:t>
      </w:r>
      <w:r>
        <w:t>SLAC National Accelerator Laboratory, 2575 Sand Hill Road, Menlo Park, CA 94025, USA, UK</w:t>
      </w:r>
      <w:r>
        <w:br/>
      </w:r>
      <w:r>
        <w:rPr>
          <w:vertAlign w:val="superscript"/>
        </w:rPr>
        <w:t>o</w:t>
      </w:r>
      <w:r>
        <w:t>Westfälische Wilhelms-Universität Münster, Institut für Mineralogie, Corrensstraße 24, Münster, 48149, Germany</w:t>
      </w:r>
      <w:r>
        <w:br/>
      </w:r>
      <w:r>
        <w:rPr>
          <w:vertAlign w:val="superscript"/>
        </w:rPr>
        <w:t>p</w:t>
      </w:r>
      <w:r>
        <w:t>Univ. Grenoble Alpes, Univ. Savoie Mont Blanc, CNRS, IRD, Univ. Gustave Eiffel, ISTerre, 38000 Grenoble, France, Cedex 9, Grenoble, 38058, France</w:t>
      </w:r>
      <w:r>
        <w:br/>
      </w:r>
      <w:r>
        <w:rPr>
          <w:vertAlign w:val="superscript"/>
        </w:rPr>
        <w:t>q</w:t>
      </w:r>
      <w:r>
        <w:t>CEA, DAM,DIF, 91297 Arpajon Cedex, France and Université Paris-Saclay, CEA, Laboratoire Matière en Conditions Extrêmes, 91680 Bruyères-le-Châtel, France</w:t>
      </w:r>
      <w:r>
        <w:br/>
      </w:r>
      <w:r>
        <w:rPr>
          <w:vertAlign w:val="superscript"/>
        </w:rPr>
        <w:t>r</w:t>
      </w:r>
      <w:r>
        <w:t>Albert-Ludwigs University of Freiburg, Institute of Earth and Environmental Sciences, Hermann-Herder-Str. 5, Freiburg, D-79104, Germany</w:t>
      </w:r>
      <w:r>
        <w:br/>
      </w:r>
      <w:r>
        <w:rPr>
          <w:vertAlign w:val="superscript"/>
        </w:rPr>
        <w:t>s</w:t>
      </w:r>
      <w:r>
        <w:t>Universität Rostock, Institut für Physik, Albert-Einstein-Straße 23 - 24, 18059, Germany</w:t>
      </w:r>
      <w:r>
        <w:br/>
      </w:r>
      <w:r>
        <w:rPr>
          <w:vertAlign w:val="superscript"/>
        </w:rPr>
        <w:t>t</w:t>
      </w:r>
      <w:r>
        <w:t>Argonne National Laboratory (ANL), High Pressure Collaborative Access Team (HPCAT), X-ray Science Division (XSD), 9700 S. Cass Avenue, Lemont, IL, IL 60439, USA</w:t>
      </w:r>
      <w:r>
        <w:br/>
      </w:r>
      <w:r>
        <w:rPr>
          <w:vertAlign w:val="superscript"/>
        </w:rPr>
        <w:t>u</w:t>
      </w:r>
      <w:r>
        <w:t>Helmholtz-Zentrum Potsdam - Deutsches GeoForschungsZentrum (GFZ), Department 3: Geochemie - Chemie und Physik der Geomaterialien, Telegrafenberg 14473, Potsdam, Germany</w:t>
      </w:r>
      <w:r>
        <w:br/>
      </w:r>
    </w:p>
    <w:p w14:paraId="67D0DA30" w14:textId="77777777" w:rsidR="00023E24" w:rsidRDefault="00023E24" w:rsidP="00023E24">
      <w:r>
        <w:t>Correspondence email: rachel.husband@desy.de; hanns-peter.liermann@desy.de</w:t>
      </w:r>
    </w:p>
    <w:p w14:paraId="524F63B7" w14:textId="77777777" w:rsidR="00023E24" w:rsidRDefault="00023E24" w:rsidP="00023E24">
      <w:r>
        <w:rPr>
          <w:vertAlign w:val="superscript"/>
        </w:rPr>
        <w:t>1</w:t>
      </w:r>
      <w:r>
        <w:t>Current address: Department of Earth and Environmental Sciences (DISAT), University of Milano-Bicocca, Piazza della Scienza 4, 20126 Milan, Italy</w:t>
      </w:r>
      <w:r>
        <w:br/>
      </w:r>
      <w:r>
        <w:rPr>
          <w:vertAlign w:val="superscript"/>
        </w:rPr>
        <w:t>2</w:t>
      </w:r>
      <w:r>
        <w:t>Current address: School of Earth Sciences and Environmental Engineering, Gwangju Institute of Science and Technology, 123 Cheomdan-Gwagiro, Gwangju 61005, Republic of Korea</w:t>
      </w:r>
      <w:r>
        <w:br/>
      </w:r>
      <w:r>
        <w:rPr>
          <w:vertAlign w:val="superscript"/>
        </w:rPr>
        <w:t>3</w:t>
      </w:r>
      <w:r>
        <w:t>Current address: College of physics, State Key Laboratory of Superhard Materials, Jilin University, Changchun 130012, China</w:t>
      </w:r>
      <w:r>
        <w:br/>
      </w:r>
      <w:r>
        <w:rPr>
          <w:vertAlign w:val="superscript"/>
        </w:rPr>
        <w:t>4</w:t>
      </w:r>
      <w:r>
        <w:t>Current address: Queen's University Belfast, School of Mathematics and Physics, University Road, Belfast BT7 1NN, UK</w:t>
      </w:r>
      <w:r>
        <w:br/>
      </w:r>
      <w:r>
        <w:rPr>
          <w:vertAlign w:val="superscript"/>
        </w:rPr>
        <w:t>5</w:t>
      </w:r>
      <w:r>
        <w:t>Current address: University of Nevada, Las Vegas, Nevada Extreme Conditions Laboratory, 4505 S. Maryland Pkwy, Las Vegas, Nevada 89154, USA</w:t>
      </w:r>
      <w:r>
        <w:br/>
      </w:r>
      <w:r>
        <w:rPr>
          <w:vertAlign w:val="superscript"/>
        </w:rPr>
        <w:t>6</w:t>
      </w:r>
      <w:r>
        <w:t>Current address: X-Spectrum GmbH, Luruper Hauptstraße 1, 22547 Hamburg, Germany</w:t>
      </w:r>
      <w:r>
        <w:br/>
      </w:r>
    </w:p>
    <w:p w14:paraId="0A6FD03A" w14:textId="0C5C4689" w:rsidR="00B01AD7" w:rsidRDefault="00023E24" w:rsidP="00023E24">
      <w:pPr>
        <w:pStyle w:val="IUCrbodytext"/>
      </w:pPr>
      <w:r>
        <w:fldChar w:fldCharType="end"/>
      </w:r>
    </w:p>
    <w:p w14:paraId="4B0A9E01" w14:textId="77777777" w:rsidR="00023E24" w:rsidRDefault="00023E24" w:rsidP="00023E24">
      <w:pPr>
        <w:pStyle w:val="IUCrbodytext"/>
      </w:pPr>
    </w:p>
    <w:p w14:paraId="5AE0A5C5" w14:textId="4062D302" w:rsidR="00A20AFF" w:rsidRDefault="00A20AFF" w:rsidP="00A20AFF">
      <w:pPr>
        <w:pStyle w:val="IUCrsynopsis"/>
        <w:numPr>
          <w:ilvl w:val="0"/>
          <w:numId w:val="41"/>
        </w:numPr>
        <w:textAlignment w:val="auto"/>
      </w:pPr>
      <w:r>
        <w:lastRenderedPageBreak/>
        <w:t xml:space="preserve">A MHz X-ray diffraction set-up for the investigation of material behaviour under dynamic compression in the diamond anvil cell at intermediate strain rates has been developed at the High Energy Density (HED) instrument at the European XFEL. </w:t>
      </w:r>
    </w:p>
    <w:p w14:paraId="4872B38F" w14:textId="341B2C10" w:rsidR="008D471B" w:rsidRDefault="00A20AFF" w:rsidP="00D909DC">
      <w:pPr>
        <w:pStyle w:val="IUCrsynopsis"/>
        <w:numPr>
          <w:ilvl w:val="0"/>
          <w:numId w:val="39"/>
        </w:numPr>
        <w:textAlignment w:val="auto"/>
      </w:pPr>
      <w:r>
        <w:rPr>
          <w:color w:val="000000"/>
          <w:shd w:val="clear" w:color="auto" w:fill="FDFDFD"/>
        </w:rPr>
        <w:t>A</w:t>
      </w:r>
      <w:r w:rsidR="00E456A8">
        <w:rPr>
          <w:color w:val="000000"/>
          <w:shd w:val="clear" w:color="auto" w:fill="FDFDFD"/>
        </w:rPr>
        <w:t>n experimental platform</w:t>
      </w:r>
      <w:r>
        <w:rPr>
          <w:color w:val="000000"/>
          <w:shd w:val="clear" w:color="auto" w:fill="FDFDFD"/>
        </w:rPr>
        <w:t xml:space="preserve"> </w:t>
      </w:r>
      <w:r w:rsidR="00E456A8">
        <w:rPr>
          <w:color w:val="000000"/>
          <w:shd w:val="clear" w:color="auto" w:fill="FDFDFD"/>
        </w:rPr>
        <w:t xml:space="preserve">for </w:t>
      </w:r>
      <w:r>
        <w:rPr>
          <w:color w:val="000000"/>
          <w:shd w:val="clear" w:color="auto" w:fill="FDFDFD"/>
        </w:rPr>
        <w:t>dynamic diamond anvil cell (</w:t>
      </w:r>
      <w:proofErr w:type="spellStart"/>
      <w:r>
        <w:rPr>
          <w:color w:val="000000"/>
          <w:shd w:val="clear" w:color="auto" w:fill="FDFDFD"/>
        </w:rPr>
        <w:t>dDAC</w:t>
      </w:r>
      <w:proofErr w:type="spellEnd"/>
      <w:r>
        <w:rPr>
          <w:color w:val="000000"/>
          <w:shd w:val="clear" w:color="auto" w:fill="FDFDFD"/>
        </w:rPr>
        <w:t xml:space="preserve">) </w:t>
      </w:r>
      <w:r w:rsidR="00E456A8">
        <w:rPr>
          <w:color w:val="000000"/>
          <w:shd w:val="clear" w:color="auto" w:fill="FDFDFD"/>
        </w:rPr>
        <w:t>research</w:t>
      </w:r>
      <w:r>
        <w:rPr>
          <w:color w:val="000000"/>
          <w:shd w:val="clear" w:color="auto" w:fill="FDFDFD"/>
        </w:rPr>
        <w:t xml:space="preserve"> has been </w:t>
      </w:r>
      <w:r w:rsidR="00E456A8">
        <w:rPr>
          <w:color w:val="000000"/>
          <w:shd w:val="clear" w:color="auto" w:fill="FDFDFD"/>
        </w:rPr>
        <w:t>developed</w:t>
      </w:r>
      <w:r>
        <w:rPr>
          <w:color w:val="000000"/>
          <w:shd w:val="clear" w:color="auto" w:fill="FDFDFD"/>
        </w:rPr>
        <w:t xml:space="preserve"> at the High Energy Density (HED) Instrument at the European X-ray Free Electron Laser (European XFEL). </w:t>
      </w:r>
      <w:r w:rsidR="00E456A8">
        <w:rPr>
          <w:color w:val="000000"/>
          <w:shd w:val="clear" w:color="auto" w:fill="FDFDFD"/>
        </w:rPr>
        <w:t>Taking</w:t>
      </w:r>
      <w:r>
        <w:rPr>
          <w:color w:val="000000"/>
          <w:shd w:val="clear" w:color="auto" w:fill="FDFDFD"/>
        </w:rPr>
        <w:t xml:space="preserve"> advantage of the </w:t>
      </w:r>
      <w:r w:rsidR="00E456A8">
        <w:rPr>
          <w:color w:val="000000"/>
          <w:shd w:val="clear" w:color="auto" w:fill="FDFDFD"/>
        </w:rPr>
        <w:t>high</w:t>
      </w:r>
      <w:r>
        <w:rPr>
          <w:color w:val="000000"/>
          <w:shd w:val="clear" w:color="auto" w:fill="FDFDFD"/>
        </w:rPr>
        <w:t xml:space="preserve"> repetition rate of the European XFEL (up to 4.5 MHz) to collect pulse-resolved MHz X-ray diffraction data from samples as they are dynamically compressed at intermediate strain rates (≤10</w:t>
      </w:r>
      <w:r w:rsidRPr="007A32B6">
        <w:rPr>
          <w:color w:val="000000"/>
          <w:shd w:val="clear" w:color="auto" w:fill="FDFDFD"/>
          <w:vertAlign w:val="superscript"/>
        </w:rPr>
        <w:t>3</w:t>
      </w:r>
      <w:r>
        <w:rPr>
          <w:color w:val="000000"/>
          <w:shd w:val="clear" w:color="auto" w:fill="FDFDFD"/>
        </w:rPr>
        <w:t xml:space="preserve"> s</w:t>
      </w:r>
      <w:r w:rsidRPr="007A32B6">
        <w:rPr>
          <w:color w:val="000000"/>
          <w:shd w:val="clear" w:color="auto" w:fill="FDFDFD"/>
          <w:vertAlign w:val="superscript"/>
        </w:rPr>
        <w:t>-1</w:t>
      </w:r>
      <w:r>
        <w:rPr>
          <w:color w:val="000000"/>
          <w:shd w:val="clear" w:color="auto" w:fill="FDFDFD"/>
        </w:rPr>
        <w:t>), where up to 352 diffraction images can be collected from a single pulse train</w:t>
      </w:r>
      <w:r>
        <w:t>. The set-up employs</w:t>
      </w:r>
      <w:r w:rsidRPr="00AF1DDA">
        <w:rPr>
          <w:color w:val="000000"/>
          <w:shd w:val="clear" w:color="auto" w:fill="FDFDFD"/>
        </w:rPr>
        <w:t xml:space="preserve"> piezo-driven </w:t>
      </w:r>
      <w:proofErr w:type="spellStart"/>
      <w:r w:rsidRPr="00AF1DDA">
        <w:rPr>
          <w:color w:val="000000"/>
          <w:shd w:val="clear" w:color="auto" w:fill="FDFDFD"/>
        </w:rPr>
        <w:t>dDACs</w:t>
      </w:r>
      <w:proofErr w:type="spellEnd"/>
      <w:r w:rsidRPr="00AF1DDA">
        <w:rPr>
          <w:color w:val="000000"/>
          <w:shd w:val="clear" w:color="auto" w:fill="FDFDFD"/>
        </w:rPr>
        <w:t xml:space="preserve"> capable of compressing samples in </w:t>
      </w:r>
      <w:r>
        <w:rPr>
          <w:color w:val="000000"/>
          <w:shd w:val="clear" w:color="auto" w:fill="FDFDFD"/>
        </w:rPr>
        <w:t>≥</w:t>
      </w:r>
      <w:r w:rsidRPr="00AF1DDA">
        <w:rPr>
          <w:color w:val="000000"/>
          <w:shd w:val="clear" w:color="auto" w:fill="FDFDFD"/>
        </w:rPr>
        <w:t xml:space="preserve">340 </w:t>
      </w:r>
      <w:r w:rsidRPr="004742BD">
        <w:t>µs</w:t>
      </w:r>
      <w:r>
        <w:t>, compatible with the maximum length of the pulse train (550 </w:t>
      </w:r>
      <w:r w:rsidRPr="004742BD">
        <w:t>µs</w:t>
      </w:r>
      <w:r>
        <w:t>).</w:t>
      </w:r>
      <w:r w:rsidRPr="00AF1DDA">
        <w:rPr>
          <w:color w:val="000000"/>
          <w:shd w:val="clear" w:color="auto" w:fill="FDFDFD"/>
        </w:rPr>
        <w:t xml:space="preserve"> Results from rapid compression experiments on a wide range of sample systems</w:t>
      </w:r>
      <w:r>
        <w:rPr>
          <w:color w:val="000000"/>
          <w:shd w:val="clear" w:color="auto" w:fill="FDFDFD"/>
        </w:rPr>
        <w:t xml:space="preserve"> with different X-ray scattering powers</w:t>
      </w:r>
      <w:r w:rsidRPr="00AF1DDA">
        <w:rPr>
          <w:color w:val="000000"/>
          <w:shd w:val="clear" w:color="auto" w:fill="FDFDFD"/>
        </w:rPr>
        <w:t xml:space="preserve"> are presented</w:t>
      </w:r>
      <w:r w:rsidR="00E456A8">
        <w:rPr>
          <w:color w:val="000000"/>
          <w:shd w:val="clear" w:color="auto" w:fill="FDFDFD"/>
        </w:rPr>
        <w:t>.</w:t>
      </w:r>
      <w:r w:rsidRPr="00AF1DDA">
        <w:rPr>
          <w:color w:val="000000"/>
          <w:shd w:val="clear" w:color="auto" w:fill="FDFDFD"/>
        </w:rPr>
        <w:t xml:space="preserve"> </w:t>
      </w:r>
      <w:r w:rsidR="00E456A8">
        <w:rPr>
          <w:color w:val="000000"/>
          <w:shd w:val="clear" w:color="auto" w:fill="FDFDFD"/>
        </w:rPr>
        <w:t>A</w:t>
      </w:r>
      <w:r>
        <w:rPr>
          <w:color w:val="000000"/>
          <w:shd w:val="clear" w:color="auto" w:fill="FDFDFD"/>
        </w:rPr>
        <w:t xml:space="preserve"> maximum </w:t>
      </w:r>
      <w:r w:rsidR="00E456A8">
        <w:rPr>
          <w:color w:val="000000"/>
          <w:shd w:val="clear" w:color="auto" w:fill="FDFDFD"/>
        </w:rPr>
        <w:t xml:space="preserve">compression rate of 87 </w:t>
      </w:r>
      <w:proofErr w:type="spellStart"/>
      <w:r w:rsidR="00E456A8">
        <w:rPr>
          <w:color w:val="000000"/>
          <w:shd w:val="clear" w:color="auto" w:fill="FDFDFD"/>
        </w:rPr>
        <w:t>TPa</w:t>
      </w:r>
      <w:proofErr w:type="spellEnd"/>
      <w:r w:rsidR="00E456A8">
        <w:rPr>
          <w:color w:val="000000"/>
          <w:shd w:val="clear" w:color="auto" w:fill="FDFDFD"/>
        </w:rPr>
        <w:t xml:space="preserve">/s was observed during the fast compression of Au, while a </w:t>
      </w:r>
      <w:r>
        <w:rPr>
          <w:color w:val="000000"/>
          <w:shd w:val="clear" w:color="auto" w:fill="FDFDFD"/>
        </w:rPr>
        <w:t>strain rate</w:t>
      </w:r>
      <w:r w:rsidRPr="00AF1DDA">
        <w:rPr>
          <w:color w:val="000000"/>
          <w:shd w:val="clear" w:color="auto" w:fill="FDFDFD"/>
        </w:rPr>
        <w:t xml:space="preserve"> of</w:t>
      </w:r>
      <w:r>
        <w:rPr>
          <w:color w:val="000000"/>
          <w:shd w:val="clear" w:color="auto" w:fill="FDFDFD"/>
        </w:rPr>
        <w:t xml:space="preserve"> ~1100 s</w:t>
      </w:r>
      <w:r w:rsidRPr="00F97054">
        <w:rPr>
          <w:color w:val="000000"/>
          <w:shd w:val="clear" w:color="auto" w:fill="FDFDFD"/>
          <w:vertAlign w:val="superscript"/>
        </w:rPr>
        <w:t xml:space="preserve">-1 </w:t>
      </w:r>
      <w:r w:rsidRPr="00F97054">
        <w:rPr>
          <w:color w:val="000000"/>
          <w:shd w:val="clear" w:color="auto" w:fill="FDFDFD"/>
          <w:lang w:val="en-US"/>
        </w:rPr>
        <w:t xml:space="preserve">was achieved during the </w:t>
      </w:r>
      <w:r>
        <w:rPr>
          <w:color w:val="000000"/>
          <w:shd w:val="clear" w:color="auto" w:fill="FDFDFD"/>
          <w:lang w:val="en-US"/>
        </w:rPr>
        <w:t>rapid</w:t>
      </w:r>
      <w:r w:rsidRPr="00F97054">
        <w:rPr>
          <w:color w:val="000000"/>
          <w:shd w:val="clear" w:color="auto" w:fill="FDFDFD"/>
          <w:lang w:val="en-US"/>
        </w:rPr>
        <w:t xml:space="preserve"> compression of </w:t>
      </w:r>
      <w:r>
        <w:rPr>
          <w:color w:val="000000"/>
          <w:shd w:val="clear" w:color="auto" w:fill="FDFDFD"/>
          <w:lang w:val="en-US"/>
        </w:rPr>
        <w:t>N</w:t>
      </w:r>
      <w:r w:rsidRPr="00D70FC7">
        <w:rPr>
          <w:color w:val="000000"/>
          <w:shd w:val="clear" w:color="auto" w:fill="FDFDFD"/>
          <w:vertAlign w:val="subscript"/>
          <w:lang w:val="en-US"/>
        </w:rPr>
        <w:t>2</w:t>
      </w:r>
      <w:r>
        <w:rPr>
          <w:color w:val="000000"/>
          <w:shd w:val="clear" w:color="auto" w:fill="FDFDFD"/>
          <w:vertAlign w:val="subscript"/>
          <w:lang w:val="en-US"/>
        </w:rPr>
        <w:t xml:space="preserve"> </w:t>
      </w:r>
      <w:r>
        <w:rPr>
          <w:color w:val="000000"/>
          <w:shd w:val="clear" w:color="auto" w:fill="FDFDFD"/>
          <w:lang w:val="en-US"/>
        </w:rPr>
        <w:t>at 23</w:t>
      </w:r>
      <w:r w:rsidRPr="00F97054">
        <w:rPr>
          <w:color w:val="000000"/>
          <w:shd w:val="clear" w:color="auto" w:fill="FDFDFD"/>
          <w:lang w:val="en-US"/>
        </w:rPr>
        <w:t xml:space="preserve"> </w:t>
      </w:r>
      <w:proofErr w:type="spellStart"/>
      <w:r w:rsidRPr="00F97054">
        <w:rPr>
          <w:color w:val="000000"/>
          <w:shd w:val="clear" w:color="auto" w:fill="FDFDFD"/>
          <w:lang w:val="en-US"/>
        </w:rPr>
        <w:t>TPa</w:t>
      </w:r>
      <w:proofErr w:type="spellEnd"/>
      <w:r w:rsidRPr="00F97054">
        <w:rPr>
          <w:color w:val="000000"/>
          <w:shd w:val="clear" w:color="auto" w:fill="FDFDFD"/>
          <w:lang w:val="en-US"/>
        </w:rPr>
        <w:t xml:space="preserve">/s. </w:t>
      </w:r>
      <w:r w:rsidRPr="00F97054">
        <w:rPr>
          <w:color w:val="000000"/>
          <w:shd w:val="clear" w:color="auto" w:fill="FDFDFD"/>
        </w:rPr>
        <w:t xml:space="preserve"> </w:t>
      </w:r>
    </w:p>
    <w:p w14:paraId="3030E9BA" w14:textId="1AD74B26" w:rsidR="0015079F" w:rsidRDefault="00A20AFF" w:rsidP="0015079F">
      <w:pPr>
        <w:pStyle w:val="IUCrkeywords"/>
        <w:numPr>
          <w:ilvl w:val="0"/>
          <w:numId w:val="40"/>
        </w:numPr>
      </w:pPr>
      <w:r>
        <w:t>Extreme conditions science;</w:t>
      </w:r>
      <w:r w:rsidRPr="00316CC9">
        <w:t xml:space="preserve"> </w:t>
      </w:r>
      <w:r>
        <w:t xml:space="preserve">X-ray free electron lasers; </w:t>
      </w:r>
      <w:r w:rsidR="00812FB1">
        <w:t>D</w:t>
      </w:r>
      <w:r>
        <w:t>iamond anvil cells</w:t>
      </w:r>
      <w:r w:rsidR="00B72923">
        <w:t>;</w:t>
      </w:r>
      <w:r>
        <w:t xml:space="preserve"> </w:t>
      </w:r>
      <w:r w:rsidR="00812FB1">
        <w:t>D</w:t>
      </w:r>
      <w:r>
        <w:t>ynamic compression</w:t>
      </w:r>
    </w:p>
    <w:p w14:paraId="43806F71" w14:textId="77777777" w:rsidR="0015079F" w:rsidRPr="0015079F" w:rsidRDefault="0015079F" w:rsidP="0015079F">
      <w:pPr>
        <w:pStyle w:val="IUCrheading1"/>
        <w:numPr>
          <w:ilvl w:val="0"/>
          <w:numId w:val="0"/>
        </w:numPr>
      </w:pPr>
    </w:p>
    <w:p w14:paraId="6B1F96CD" w14:textId="77777777" w:rsidR="00A20AFF" w:rsidRDefault="00A20AFF" w:rsidP="00A20AFF">
      <w:pPr>
        <w:pStyle w:val="IUCrheading1"/>
        <w:numPr>
          <w:ilvl w:val="0"/>
          <w:numId w:val="34"/>
        </w:numPr>
        <w:textAlignment w:val="auto"/>
      </w:pPr>
      <w:r>
        <w:t xml:space="preserve">Introduction </w:t>
      </w:r>
    </w:p>
    <w:p w14:paraId="35E9358D" w14:textId="27B58BC3" w:rsidR="00A20AFF" w:rsidRPr="00FC1152" w:rsidRDefault="00A20AFF" w:rsidP="00A20AFF">
      <w:pPr>
        <w:pStyle w:val="IUCrbodytext"/>
        <w:rPr>
          <w:rFonts w:eastAsia="Arial"/>
          <w:szCs w:val="22"/>
          <w:shd w:val="clear" w:color="FDFDFD" w:fill="FDFDFD"/>
        </w:rPr>
      </w:pPr>
      <w:r w:rsidRPr="007015DE">
        <w:rPr>
          <w:rFonts w:eastAsia="Arial"/>
          <w:shd w:val="clear" w:color="FDFDFD" w:fill="FDFDFD"/>
        </w:rPr>
        <w:t>Many materials respond to extreme pressures in the gigapascal (</w:t>
      </w:r>
      <w:proofErr w:type="spellStart"/>
      <w:r w:rsidRPr="007015DE">
        <w:rPr>
          <w:rFonts w:eastAsia="Arial"/>
          <w:shd w:val="clear" w:color="FDFDFD" w:fill="FDFDFD"/>
        </w:rPr>
        <w:t>GPa</w:t>
      </w:r>
      <w:proofErr w:type="spellEnd"/>
      <w:r w:rsidRPr="007015DE">
        <w:rPr>
          <w:rFonts w:eastAsia="Arial"/>
          <w:shd w:val="clear" w:color="FDFDFD" w:fill="FDFDFD"/>
        </w:rPr>
        <w:t xml:space="preserve">) to </w:t>
      </w:r>
      <w:proofErr w:type="spellStart"/>
      <w:r w:rsidRPr="007015DE">
        <w:rPr>
          <w:rFonts w:eastAsia="Arial"/>
          <w:shd w:val="clear" w:color="FDFDFD" w:fill="FDFDFD"/>
        </w:rPr>
        <w:t>terapascal</w:t>
      </w:r>
      <w:proofErr w:type="spellEnd"/>
      <w:r w:rsidRPr="007015DE">
        <w:rPr>
          <w:rFonts w:eastAsia="Arial"/>
          <w:shd w:val="clear" w:color="FDFDFD" w:fill="FDFDFD"/>
        </w:rPr>
        <w:t xml:space="preserve"> (</w:t>
      </w:r>
      <w:proofErr w:type="spellStart"/>
      <w:r w:rsidRPr="007015DE">
        <w:rPr>
          <w:rFonts w:eastAsia="Arial"/>
          <w:shd w:val="clear" w:color="FDFDFD" w:fill="FDFDFD"/>
        </w:rPr>
        <w:t>TPa</w:t>
      </w:r>
      <w:proofErr w:type="spellEnd"/>
      <w:r w:rsidRPr="007015DE">
        <w:rPr>
          <w:rFonts w:eastAsia="Arial"/>
          <w:shd w:val="clear" w:color="FDFDFD" w:fill="FDFDFD"/>
        </w:rPr>
        <w:t xml:space="preserve">) regime by transforming to exotic new phases, where </w:t>
      </w:r>
      <w:r w:rsidRPr="009B176E">
        <w:rPr>
          <w:rFonts w:eastAsia="Arial"/>
          <w:shd w:val="clear" w:color="FDFDFD" w:fill="FDFDFD"/>
        </w:rPr>
        <w:t xml:space="preserve">transitions may be accompanied by changes in electronic structure and/or chemical bonding </w:t>
      </w:r>
      <w:r w:rsidRPr="007015DE">
        <w:rPr>
          <w:rFonts w:eastAsia="Arial"/>
          <w:shd w:val="clear" w:color="FDFDFD" w:fill="FDFDFD"/>
        </w:rPr>
        <w:fldChar w:fldCharType="begin"/>
      </w:r>
      <w:r w:rsidR="006722F5">
        <w:rPr>
          <w:rFonts w:eastAsia="Arial"/>
          <w:shd w:val="clear" w:color="FDFDFD" w:fill="FDFDFD"/>
        </w:rPr>
        <w:instrText xml:space="preserve"> ADDIN ZOTERO_ITEM CSL_CITATION {"citationID":"8WQSy33N","properties":{"formattedCitation":"(McMahon &amp; Nelmes, 2006)","plainCitation":"(McMahon &amp; Nelmes, 2006)","noteIndex":0},"citationItems":[{"id":"k3ssTldU/toJplVlq","uris":["http://zotero.org/users/local/Fqc8jgl2/items/IICBRZU9"],"uri":["http://zotero.org/users/local/Fqc8jgl2/items/IICBRZU9"],"itemData":{"id":203,"type":"article-journal","abstract":"At ambient conditions the great majority of the metallic elements have simple crystal structures, such as face-centred or body-centred cubic, or hexagonal close-packed. However, when subjected to very high pressures, many of the same elements undergo phase transitions to low-symmetry and surprisingly complex structures, an increasing number of which are being found to be incommensurate. The present critical review describes the high-pressure behaviour of each of the group 1 to 16 metallic elements in detail, summarising previous work and giving the best present understanding of the structures and transitions at ambient temperature. The principal results and emerging systematics are then summarised and discussed.","container-title":"Chemical Society Reviews","DOI":"10.1039/B517777B","ISSN":"1460-4744","issue":"10","journalAbbreviation":"Chem. Soc. Rev.","language":"en","note":"publisher: The Royal Society of Chemistry","page":"943-963","source":"pubs.rsc.org","title":"High-pressure structures and phase transformations in elemental metals","volume":"35","author":[{"family":"McMahon","given":"Malcolm I."},{"family":"Nelmes","given":"Richard J."}],"issued":{"date-parts":[["2006",9,26]]}}}],"schema":"https://github.com/citation-style-language/schema/raw/master/csl-citation.json"} </w:instrText>
      </w:r>
      <w:r w:rsidRPr="007015DE">
        <w:rPr>
          <w:rFonts w:eastAsia="Arial"/>
          <w:shd w:val="clear" w:color="FDFDFD" w:fill="FDFDFD"/>
        </w:rPr>
        <w:fldChar w:fldCharType="separate"/>
      </w:r>
      <w:r w:rsidRPr="007015DE">
        <w:t>(McMahon &amp; Nelmes, 2006)</w:t>
      </w:r>
      <w:r w:rsidRPr="007015DE">
        <w:rPr>
          <w:rFonts w:eastAsia="Arial"/>
          <w:shd w:val="clear" w:color="FDFDFD" w:fill="FDFDFD"/>
        </w:rPr>
        <w:fldChar w:fldCharType="end"/>
      </w:r>
      <w:r w:rsidRPr="007015DE">
        <w:rPr>
          <w:rFonts w:eastAsia="Arial"/>
          <w:shd w:val="clear" w:color="FDFDFD" w:fill="FDFDFD"/>
        </w:rPr>
        <w:t>. High pressure structural behaviour has tradition</w:t>
      </w:r>
      <w:r w:rsidRPr="009B176E">
        <w:rPr>
          <w:rFonts w:eastAsia="Arial"/>
          <w:shd w:val="clear" w:color="FDFDFD" w:fill="FDFDFD"/>
        </w:rPr>
        <w:t>ally been investigated using X-rays at</w:t>
      </w:r>
      <w:r w:rsidRPr="009B176E">
        <w:rPr>
          <w:rFonts w:eastAsia="Arial"/>
          <w:szCs w:val="22"/>
          <w:shd w:val="clear" w:color="FDFDFD" w:fill="FDFDFD"/>
        </w:rPr>
        <w:t xml:space="preserve"> static high pressures using a large volume press or diamond anvil cell (DAC) </w:t>
      </w:r>
      <w:r w:rsidRPr="007015DE">
        <w:rPr>
          <w:rFonts w:eastAsia="Arial"/>
          <w:szCs w:val="22"/>
          <w:shd w:val="clear" w:color="FDFDFD" w:fill="FDFDFD"/>
        </w:rPr>
        <w:fldChar w:fldCharType="begin"/>
      </w:r>
      <w:r w:rsidRPr="007015DE">
        <w:rPr>
          <w:rFonts w:eastAsia="Arial"/>
          <w:szCs w:val="22"/>
          <w:shd w:val="clear" w:color="FDFDFD" w:fill="FDFDFD"/>
        </w:rPr>
        <w:instrText xml:space="preserve"> ADDIN ZOTERO_ITEM CSL_CITATION {"citationID":"MPOlpGti","properties":{"formattedCitation":"(McMahon, 2018)","plainCitation":"(McMahon, 2018)","noteIndex":0},"citationItems":[{"id":112,"uris":["http://zotero.org/users/local/dwaXvkNj/items/Q7KM6H4Q"],"uri":["http://zotero.org/users/local/dwaXvkNj/items/Q7KM6H4Q"],"itemData":{"id":112,"type":"chapter","title":"Synchrotron and FEL Studies of Matter at High Pressures","container-title":"Synchrotron Light Sources and Free-Electron Lasers: Accelerator Physics, Instrumentation and Science Applications","publisher":"Springer International Publishing","publisher-place":"Cham","page":"1-40","source":"Springer Link","event-place":"Cham","abstract":"Samples compressed to very high pressures are typically very small or exist for only a very short period of time. Researchers seeking to make x-ray studies of matter under such conditions have therefore always sought access to the brightest possible x-ray sources – synchrotrons – and, more recently, x-ray FELs. In this chapter, after a brief introduction and a short history of high-pressure science, I describe the techniques used to compress matter to pressures well above 1 million atmospheres (1 megabar or 100 GPa) both statically and dynamically and then review how experiments are conducted on such samples at both synchrotrons and XFELs. I conclude with a discussion about the opportunities afforded by the start-up of diffraction-limited synchrotrons and the new European XFEL.","URL":"https://doi.org/10.1007/978-3-319-04507-8_67-1","ISBN":"978-3-319-04507-8","note":"DOI: 10.1007/978-3-319-04507-8_67-1","language":"en","author":[{"family":"McMahon","given":"Malcolm I."}],"editor":[{"family":"Jaeschke","given":"Eberhard"},{"family":"Khan","given":"Shaukat"},{"family":"Schneider","given":"Jochen R."},{"family":"Hastings","given":"Jerome B."}],"issued":{"date-parts":[["2018"]]},"accessed":{"date-parts":[["2023",2,16]]}}}],"schema":"https://github.com/citation-style-language/schema/raw/master/csl-citation.json"} </w:instrText>
      </w:r>
      <w:r w:rsidRPr="007015DE">
        <w:rPr>
          <w:rFonts w:eastAsia="Arial"/>
          <w:szCs w:val="22"/>
          <w:shd w:val="clear" w:color="FDFDFD" w:fill="FDFDFD"/>
        </w:rPr>
        <w:fldChar w:fldCharType="separate"/>
      </w:r>
      <w:r w:rsidRPr="007015DE">
        <w:t>(McMahon, 2018)</w:t>
      </w:r>
      <w:r w:rsidRPr="007015DE">
        <w:rPr>
          <w:rFonts w:eastAsia="Arial"/>
          <w:szCs w:val="22"/>
          <w:shd w:val="clear" w:color="FDFDFD" w:fill="FDFDFD"/>
        </w:rPr>
        <w:fldChar w:fldCharType="end"/>
      </w:r>
      <w:r w:rsidRPr="007015DE">
        <w:rPr>
          <w:rFonts w:eastAsia="Arial"/>
          <w:szCs w:val="22"/>
          <w:shd w:val="clear" w:color="FDFDFD" w:fill="FDFDFD"/>
        </w:rPr>
        <w:t xml:space="preserve">, or under dynamic compression using gas guns or laser-driven compression </w:t>
      </w:r>
      <w:r w:rsidRPr="007015DE">
        <w:rPr>
          <w:rFonts w:eastAsia="Arial"/>
          <w:szCs w:val="22"/>
          <w:shd w:val="clear" w:color="FDFDFD" w:fill="FDFDFD"/>
        </w:rPr>
        <w:fldChar w:fldCharType="begin"/>
      </w:r>
      <w:r w:rsidR="006722F5">
        <w:rPr>
          <w:rFonts w:eastAsia="Arial"/>
          <w:szCs w:val="22"/>
          <w:shd w:val="clear" w:color="FDFDFD" w:fill="FDFDFD"/>
        </w:rPr>
        <w:instrText xml:space="preserve"> ADDIN ZOTERO_ITEM CSL_CITATION {"citationID":"lBh7Kk3s","properties":{"formattedCitation":"(Wark {\\i{}et al.}, 2022)","plainCitation":"(Wark et al., 2022)","noteIndex":0},"citationItems":[{"id":113,"uris":["http://zotero.org/users/local/dwaXvkNj/items/PEFWZTEM"],"uri":["http://zotero.org/users/local/dwaXvkNj/items/PEFWZTEM"],"itemData":{"id":113,"type":"article-journal","title":"Femtosecond diffraction and dynamic high pressure science","container-title":"Journal of Applied Physics","page":"080902","volume":"132","issue":"8","source":"aip.scitation.org (Atypon)","abstract":"Solid-state material at high pressure is prevalent throughout the Universe, and an understanding of the structure of matter under such extreme conditions, gleaned from x-ray diffraction, has been pursued for the best part of a century. The highest pressures that can be reached to date (2 TPa) in combination with x-ray diffraction diagnosis have been achieved by dynamic compression via laser ablation [A. Lazicki et al., Nature 589, 532–535 (2021)]. The past decade has witnessed remarkable advances in x-ray technologies, with novel x-ray Free-Electron-Lasers (FELs) affording the capacity to produce high quality single-shot diffraction data on timescales below 100 fs. We provide a brief history of the field of dynamic compression, spanning from when the x-ray sources were almost always laser-plasma based, to the current state-of-the art diffraction capabilities provided by FELs. We give an overview of the physics of dynamic compression, diagnostic techniques, and the importance of understanding how the rate of compression influences the final temperatures reached. We provide illustrative examples of experiments performed on FEL facilities that are starting to give insight into how materials deform at ultrahigh strain rates, their phase diagrams, and the types of states that can be reached. We emphasize that there often appear to be differences in the crystalline phases observed between the use of static and dynamic compression techniques. We give our perspective on both the current state of this rapidly evolving field and some glimpses of how we see it developing in the near-to-medium term.","DOI":"10.1063/5.0089388","ISSN":"0021-8979","journalAbbreviation":"J. Appl. Phys.","author":[{"family":"Wark","given":"Justin S."},{"family":"McMahon","given":"Malcolm I."},{"family":"Eggert","given":"Jon H."}],"issued":{"date-parts":[["2022",8,28]]}}}],"schema":"https://github.com/citation-style-language/schema/raw/master/csl-citation.json"} </w:instrText>
      </w:r>
      <w:r w:rsidRPr="007015DE">
        <w:rPr>
          <w:rFonts w:eastAsia="Arial"/>
          <w:szCs w:val="22"/>
          <w:shd w:val="clear" w:color="FDFDFD" w:fill="FDFDFD"/>
        </w:rPr>
        <w:fldChar w:fldCharType="separate"/>
      </w:r>
      <w:r w:rsidRPr="007015DE">
        <w:t xml:space="preserve">(Wark </w:t>
      </w:r>
      <w:r w:rsidRPr="007015DE">
        <w:rPr>
          <w:i/>
          <w:iCs/>
        </w:rPr>
        <w:t>et al.</w:t>
      </w:r>
      <w:r w:rsidRPr="007015DE">
        <w:t>, 2022)</w:t>
      </w:r>
      <w:r w:rsidRPr="007015DE">
        <w:rPr>
          <w:rFonts w:eastAsia="Arial"/>
          <w:szCs w:val="22"/>
          <w:shd w:val="clear" w:color="FDFDFD" w:fill="FDFDFD"/>
        </w:rPr>
        <w:fldChar w:fldCharType="end"/>
      </w:r>
      <w:r w:rsidRPr="007015DE">
        <w:rPr>
          <w:rFonts w:eastAsia="Arial"/>
          <w:szCs w:val="22"/>
          <w:shd w:val="clear" w:color="FDFDFD" w:fill="FDFDFD"/>
        </w:rPr>
        <w:t>. These techniques are associated with very different timescales and strain rates (</w:t>
      </w:r>
      <m:oMath>
        <m:acc>
          <m:accPr>
            <m:chr m:val="̇"/>
            <m:ctrlPr>
              <w:rPr>
                <w:rFonts w:ascii="Cambria Math" w:eastAsia="Arial" w:hAnsi="Cambria Math"/>
                <w:i/>
                <w:szCs w:val="22"/>
                <w:shd w:val="clear" w:color="FDFDFD" w:fill="FDFDFD"/>
              </w:rPr>
            </m:ctrlPr>
          </m:accPr>
          <m:e>
            <m:r>
              <w:rPr>
                <w:rFonts w:ascii="Cambria Math" w:eastAsia="Arial" w:hAnsi="Cambria Math"/>
                <w:szCs w:val="22"/>
                <w:shd w:val="clear" w:color="FDFDFD" w:fill="FDFDFD"/>
              </w:rPr>
              <m:t>ε</m:t>
            </m:r>
          </m:e>
        </m:acc>
      </m:oMath>
      <w:r w:rsidRPr="007015DE">
        <w:rPr>
          <w:rFonts w:eastAsia="Arial"/>
          <w:szCs w:val="22"/>
          <w:shd w:val="clear" w:color="FDFDFD" w:fill="FDFDFD"/>
        </w:rPr>
        <w:t xml:space="preserve"> = dε/dt, where ε =</w:t>
      </w:r>
      <w:r>
        <w:rPr>
          <w:rFonts w:eastAsia="Arial"/>
          <w:szCs w:val="22"/>
          <w:shd w:val="clear" w:color="FDFDFD" w:fill="FDFDFD"/>
        </w:rPr>
        <w:t xml:space="preserve"> ΔV/V), which</w:t>
      </w:r>
      <w:r w:rsidRPr="004742BD">
        <w:rPr>
          <w:rFonts w:eastAsia="Arial"/>
          <w:szCs w:val="22"/>
          <w:shd w:val="clear" w:color="FDFDFD" w:fill="FDFDFD"/>
        </w:rPr>
        <w:t xml:space="preserve"> can </w:t>
      </w:r>
      <w:r>
        <w:rPr>
          <w:rFonts w:eastAsia="Arial"/>
          <w:szCs w:val="22"/>
          <w:shd w:val="clear" w:color="FDFDFD" w:fill="FDFDFD"/>
        </w:rPr>
        <w:t xml:space="preserve">result in </w:t>
      </w:r>
      <w:r w:rsidRPr="004742BD">
        <w:rPr>
          <w:rFonts w:eastAsia="Arial"/>
          <w:szCs w:val="22"/>
          <w:shd w:val="clear" w:color="FDFDFD" w:fill="FDFDFD"/>
        </w:rPr>
        <w:t>striking differences in determined phase diagrams</w:t>
      </w:r>
      <w:r>
        <w:rPr>
          <w:rFonts w:eastAsia="Arial"/>
          <w:szCs w:val="22"/>
          <w:shd w:val="clear" w:color="FDFDFD" w:fill="FDFDFD"/>
        </w:rPr>
        <w:t xml:space="preserve"> </w:t>
      </w:r>
      <w:r>
        <w:rPr>
          <w:rFonts w:eastAsia="Arial"/>
          <w:szCs w:val="22"/>
          <w:shd w:val="clear" w:color="FDFDFD" w:fill="FDFDFD"/>
        </w:rPr>
        <w:fldChar w:fldCharType="begin"/>
      </w:r>
      <w:r w:rsidR="006722F5">
        <w:rPr>
          <w:rFonts w:eastAsia="Arial"/>
          <w:szCs w:val="22"/>
          <w:shd w:val="clear" w:color="FDFDFD" w:fill="FDFDFD"/>
        </w:rPr>
        <w:instrText xml:space="preserve"> ADDIN ZOTERO_ITEM CSL_CITATION {"citationID":"0vdtYNJr","properties":{"formattedCitation":"(Gorman {\\i{}et al.}, 2018; P\\uc0\\u233{}pin {\\i{}et al.}, 2019; Coleman {\\i{}et al.}, 2019; McBride {\\i{}et al.}, 2019; Marshall {\\i{}et al.}, 2021)","plainCitation":"(Gorman et al., 2018; Pépin et al., 2019; Coleman et al., 2019; McBride et al., 2019; Marshall et al., 2021)","noteIndex":0},"citationItems":[{"id":146,"uris":["http://zotero.org/users/local/dwaXvkNj/items/6VR3DZVP"],"uri":["http://zotero.org/users/local/dwaXvkNj/items/6VR3DZVP"],"itemData":{"id":146,"type":"article-journal","title":"Femtosecond diffraction studies of solid and liquid phase changes in shock-compressed bismuth","container-title":"Scientific Reports","page":"16927","volume":"8","issue":"1","source":"www.nature.com","abstract":"Bismuth has long been a prototypical system for investigating phase transformations and melting at high pressure. Despite decades of experimental study, however, the lattice-level response of Bi to rapid (shock) compression and the relationship between structures occurring dynamically and those observed during slow (static) compression, are still not clearly understood. We have determined the structural response of shock-compressed Bi to 68 GPa using femtosecond X-ray diffraction, thereby revealing the phase transition sequence and equation-of-state in unprecedented detail for the first time. We show that shocked-Bi exhibits a marked departure from equilibrium behavior - the incommensurate Bi-III phase is not observed, but rather a new metastable phase, and the Bi-V phase is formed at significantly lower pressures compared to static compression studies. We also directly measure structural changes in a shocked liquid for the first time. These observations reveal new behaviour in the solid and liquid phases of a shocked material and give important insights into the validity of comparing static and dynamic datasets.","DOI":"10.1038/s41598-018-35260-3","ISSN":"2045-2322","journalAbbreviation":"Sci. Rep.","language":"en","author":[{"family":"Gorman","given":"M. G."},{"family":"Coleman","given":"A. L."},{"family":"Briggs","given":"R."},{"family":"McWilliams","given":"R. S."},{"family":"McGonegle","given":"D."},{"family":"Bolme","given":"C. A."},{"family":"Gleason","given":"A. E."},{"family":"Galtier","given":"E."},{"family":"Lee","given":"H. J."},{"family":"Granados","given":"E."},{"family":"Śliwa","given":"M."},{"family":"Sanloup","given":"C."},{"family":"Rothman","given":"S."},{"family":"Fratanduono","given":"D. E."},{"family":"Smith","given":"R. F."},{"family":"Collins","given":"G. W."},{"family":"Eggert","given":"J. H."},{"family":"Wark","given":"J. S."},{"family":"McMahon","given":"M. I."}],"issued":{"date-parts":[["2018",11,16]]}}},{"id":"k3ssTldU/tQpuTgNH","uris":["http://zotero.org/users/local/uJBp8IoE/items/6ED4XNZB"],"uri":["http://zotero.org/users/local/uJBp8IoE/items/6ED4XNZB"],"itemData":{"id":"3G6gTZOw/rO0krM4O","type":"article-journal","abstract":"Synchrotron nanosecond time-resolved x-ray diffraction has been performed on dynamically compressed bismuth along various compression and release paths, hence exploring the Bi phase diagram up to 8 GPa and 600 K. Marked departures from the static phase diagram is observed. The sequence of structural changes is different upon compression and release. The Bi-III complex host-guest structure is never obtained. Instead the Bi-V phase is observed over a large domain. Melting of Bi-V and crystallization of the fluid into Bi-I are clearly identified on stress release. Supercooling and superheating deviations to the equilibrium melting line are observed. These observations on a prototypical system underline the possible deviations between the phase diagram obtained by dynamical compression and the one under static pressure.","container-title":"Physical Review B","DOI":"10.1103/PhysRevB.100.060101","issue":"6","journalAbbreviation":"Phys. Rev. B","note":"publisher: American Physical Society","page":"060101","source":"APS","title":"Kinetics and structural changes in dynamically compressed bismuth","volume":"100","author":[{"family":"Pépin","given":"Charles M."},{"family":"Sollier","given":"Arnaud"},{"family":"Marizy","given":"Adrien"},{"family":"Occelli","given":"Florent"},{"family":"Sander","given":"Mathias"},{"family":"Torchio","given":"Raffaella"},{"family":"Loubeyre","given":"Paul"}],"issued":{"date-parts":[["2019",8,5]]}}},{"id":"k3ssTldU/4Bg7e9v0","uris":["http://zotero.org/users/local/uJBp8IoE/items/KB9ERAY2"],"uri":["http://zotero.org/users/local/uJBp8IoE/items/KB9ERAY2"],"itemData":{"id":"3G6gTZOw/6TYQyPQC","type":"article-journal","abstract":"Ultrafast x-ray diffraction at the LCLS x-ray free electron laser has been used to resolve the structural behavior of antimony under shock compression to 59 GPa. Antimony is seen to transform to the incommensurate, host-guest phase Sb-II at </w:instrText>
      </w:r>
      <w:r w:rsidR="006722F5">
        <w:rPr>
          <w:rFonts w:ascii="Cambria Math" w:eastAsia="Arial" w:hAnsi="Cambria Math" w:cs="Cambria Math"/>
          <w:szCs w:val="22"/>
          <w:shd w:val="clear" w:color="FDFDFD" w:fill="FDFDFD"/>
        </w:rPr>
        <w:instrText>∼</w:instrText>
      </w:r>
      <w:r w:rsidR="006722F5">
        <w:rPr>
          <w:rFonts w:eastAsia="Arial"/>
          <w:szCs w:val="22"/>
          <w:shd w:val="clear" w:color="FDFDFD" w:fill="FDFDFD"/>
        </w:rPr>
        <w:instrText xml:space="preserve">11 GPa, which forms on nanosecond timescales with ordered guest-atom chains. The high-pressure bcc phase Sb-III is observed above </w:instrText>
      </w:r>
      <w:r w:rsidR="006722F5">
        <w:rPr>
          <w:rFonts w:ascii="Cambria Math" w:eastAsia="Arial" w:hAnsi="Cambria Math" w:cs="Cambria Math"/>
          <w:szCs w:val="22"/>
          <w:shd w:val="clear" w:color="FDFDFD" w:fill="FDFDFD"/>
        </w:rPr>
        <w:instrText>∼</w:instrText>
      </w:r>
      <w:r w:rsidR="006722F5">
        <w:rPr>
          <w:rFonts w:eastAsia="Arial"/>
          <w:szCs w:val="22"/>
          <w:shd w:val="clear" w:color="FDFDFD" w:fill="FDFDFD"/>
        </w:rPr>
        <w:instrText xml:space="preserve">15 GPa, some 8 GPa lower than in static compression studies, and mixed Sb-III/liquid diffraction are obtained between 38 and 59 GPa. An additional phase which does not exist under static compression, Sb−I′, is also observed between 8 and 12 GPa, beyond the normal stability field of Sb-I, and resembles Sb-I with a resolved Peierls distortion. The incommensurate Sb-II high-pressure phase can be recovered metastably on release to ambient pressure, where it is stable for more than 10 ns.","container-title":"Physical Review Letters","DOI":"10.1103/PhysRevLett.122.255704","issue":"25","journalAbbreviation":"Phys. Rev. Lett.","note":"publisher: American Physical Society","page":"255704","source":"APS","title":"Identification of Phase Transitions and Metastability in Dynamically Compressed Antimony Using Ultrafast X-Ray Diffraction","volume":"122","author":[{"family":"Coleman","given":"A. L."},{"family":"Gorman","given":"M. G."},{"family":"Briggs","given":"R."},{"family":"McWilliams","given":"R. S."},{"family":"McGonegle","given":"D."},{"family":"Bolme","given":"C. A."},{"family":"Gleason","given":"A. E."},{"family":"Fratanduono","given":"D. E."},{"family":"Smith","given":"R. F."},{"family":"Galtier","given":"E."},{"family":"Lee","given":"H. J."},{"family":"Nagler","given":"B."},{"family":"Granados","given":"E."},{"family":"Collins","given":"G. W."},{"family":"Eggert","given":"J. H."},{"family":"Wark","given":"J. S."},{"family":"McMahon","given":"M. I."}],"issued":{"date-parts":[["2019",6,28]]}}},{"id":133,"uris":["http://zotero.org/users/local/dwaXvkNj/items/S9ZDRJGS"],"uri":["http://zotero.org/users/local/dwaXvkNj/items/S9ZDRJGS"],"itemData":{"id":133,"type":"article-journal","title":"Phase transition lowering in dynamically compressed silicon","container-title":"Nature Physics","page":"89-94","volume":"15","issue":"1","source":"www.nature.com","abstract":"Silicon, being one of the most abundant elements in nature, attracts wide-ranging scientific and technological interest. Specifically, in its elemental form, crystals of remarkable purity can be produced. One may assume that this would lead to silicon being well understood, and indeed, this is the case for many ambient properties, as well as for higher-pressure behaviour under quasi-static loading. However, despite many decades of study, a detailed understanding of the response of silicon to rapid compression—such as that experienced under shock impact—remains elusive. Here, we combine a novel free-electron laser-based X-ray diffraction geometry with laser-driven compression to elucidate the importance of shear generated during shock compression on the occurrence of phase transitions. We observe lowering of the hydrostatic phase boundary in elemental silicon, an ideal model system for investigating high-strength materials, analogous to planetary constituents. Moreover, we unambiguously determine the onset of melting above 14 GPa, previously ascribed to a solid–solid phase transition, undetectable in the now conventional shocked diffraction geometry; transitions to the liquid state are expected to be ubiquitous in all systems at sufficiently high pressures and temperatures.","DOI":"10.1038/s41567-018-0290-x","ISSN":"1745-2481","journalAbbreviation":"Nat. Phys.","language":"en","author":[{"family":"McBride","given":"E. E."},{"family":"Krygier","given":"A."},{"family":"Ehnes","given":"A."},{"family":"Galtier","given":"E."},{"family":"Harmand","given":"M."},{"family":"Konôpková","given":"Z."},{"family":"Lee","given":"H. J."},{"family":"Liermann","given":"H.-P."},{"family":"Nagler","given":"B."},{"family":"Pelka","given":"A."},{"family":"Rödel","given":"M."},{"family":"Schropp","given":"A."},{"family":"Smith","given":"R. F."},{"family":"Spindloe","given":"C."},{"family":"Swift","given":"D."},{"family":"Tavella","given":"F."},{"family":"Toleikis","given":"S."},{"family":"Tschentscher","given":"T."},{"family":"Wark","given":"J. S."},{"family":"Higginbotham","given":"A."}],"issued":{"date-parts":[["2019",1]]}}},{"id":"k3ssTldU/0qUmmOSV","uris":["http://zotero.org/users/local/uJBp8IoE/items/G2H4J6JP"],"uri":["http://zotero.org/users/local/uJBp8IoE/items/G2H4J6JP"],"itemData":{"id":"3G6gTZOw/HL5LJlXh","type":"article-journal","abstract":"The ubiquitous nature and unusual properties of water have motivated many studies on its metastability under temperature- or pressure-induced phase transformations. Here, nanosecond compression by a high-power laser is used to create the nonequilibrium conditions where liquid water persists well into the stable region of ice VII. Through our experiments, as well as a complementary theoretical-computational analysis based on classical nucleation theory, we report that the metastability limit of liquid water under nearly isentropic compression from ambient conditions is at least 8 GPa, higher than the 7 GPa previously reported for lower loading rates.","container-title":"Physical Review Letters","DOI":"10.1103/PhysRevLett.127.135701","issue":"13","journalAbbreviation":"Phys. Rev. Lett.","note":"publisher: American Physical Society","page":"135701","source":"APS","title":"Metastability of Liquid Water Freezing into Ice VII under Dynamic Compression","volume":"127","author":[{"family":"Marshall","given":"M. C."},{"family":"Millot","given":"M."},{"family":"Fratanduono","given":"D. E."},{"family":"Sterbentz","given":"D. M."},{"family":"Myint","given":"P. C."},{"family":"Belof","given":"J. L."},{"family":"Kim","given":"Y.-J."},{"family":"Coppari","given":"F."},{"family":"Ali","given":"S. J."},{"family":"Eggert","given":"J. H."},{"family":"Smith","given":"R. F."},{"family":"McNaney","given":"J. M."}],"issued":{"date-parts":[["2021",9,23]]}}}],"schema":"https://github.com/citation-style-language/schema/raw/master/csl-citation.json"} </w:instrText>
      </w:r>
      <w:r>
        <w:rPr>
          <w:rFonts w:eastAsia="Arial"/>
          <w:szCs w:val="22"/>
          <w:shd w:val="clear" w:color="FDFDFD" w:fill="FDFDFD"/>
        </w:rPr>
        <w:fldChar w:fldCharType="separate"/>
      </w:r>
      <w:r w:rsidRPr="00F16F0F">
        <w:t xml:space="preserve">(Gorman </w:t>
      </w:r>
      <w:r w:rsidRPr="00F16F0F">
        <w:rPr>
          <w:i/>
          <w:iCs/>
        </w:rPr>
        <w:t>et al.</w:t>
      </w:r>
      <w:r w:rsidRPr="00F16F0F">
        <w:t xml:space="preserve">, 2018; Pépin </w:t>
      </w:r>
      <w:r w:rsidRPr="00F16F0F">
        <w:rPr>
          <w:i/>
          <w:iCs/>
        </w:rPr>
        <w:t>et al.</w:t>
      </w:r>
      <w:r w:rsidRPr="00F16F0F">
        <w:t xml:space="preserve">, 2019; Coleman </w:t>
      </w:r>
      <w:r w:rsidRPr="00F16F0F">
        <w:rPr>
          <w:i/>
          <w:iCs/>
        </w:rPr>
        <w:t>et al.</w:t>
      </w:r>
      <w:r w:rsidRPr="00F16F0F">
        <w:t xml:space="preserve">, 2019; McBride </w:t>
      </w:r>
      <w:r w:rsidRPr="00F16F0F">
        <w:rPr>
          <w:i/>
          <w:iCs/>
        </w:rPr>
        <w:t>et al.</w:t>
      </w:r>
      <w:r w:rsidRPr="00F16F0F">
        <w:t xml:space="preserve">, 2019; Marshall </w:t>
      </w:r>
      <w:r w:rsidRPr="00F16F0F">
        <w:rPr>
          <w:i/>
          <w:iCs/>
        </w:rPr>
        <w:t>et al.</w:t>
      </w:r>
      <w:r w:rsidRPr="00F16F0F">
        <w:t>, 2021)</w:t>
      </w:r>
      <w:r>
        <w:rPr>
          <w:rFonts w:eastAsia="Arial"/>
          <w:szCs w:val="22"/>
          <w:shd w:val="clear" w:color="FDFDFD" w:fill="FDFDFD"/>
        </w:rPr>
        <w:fldChar w:fldCharType="end"/>
      </w:r>
      <w:r>
        <w:rPr>
          <w:rFonts w:eastAsia="Arial"/>
          <w:szCs w:val="22"/>
          <w:shd w:val="clear" w:color="FDFDFD" w:fill="FDFDFD"/>
        </w:rPr>
        <w:t>. Samples are compressed over minutes or hours in static compression experiments (</w:t>
      </w:r>
      <m:oMath>
        <m:acc>
          <m:accPr>
            <m:chr m:val="̇"/>
            <m:ctrlPr>
              <w:rPr>
                <w:rFonts w:ascii="Cambria Math" w:eastAsia="Arial" w:hAnsi="Cambria Math"/>
                <w:i/>
                <w:szCs w:val="22"/>
                <w:shd w:val="clear" w:color="FDFDFD" w:fill="FDFDFD"/>
              </w:rPr>
            </m:ctrlPr>
          </m:accPr>
          <m:e>
            <m:r>
              <w:rPr>
                <w:rFonts w:ascii="Cambria Math" w:eastAsia="Arial" w:hAnsi="Cambria Math"/>
                <w:szCs w:val="22"/>
                <w:shd w:val="clear" w:color="FDFDFD" w:fill="FDFDFD"/>
              </w:rPr>
              <m:t>ε</m:t>
            </m:r>
          </m:e>
        </m:acc>
      </m:oMath>
      <w:r>
        <w:rPr>
          <w:rFonts w:eastAsia="Arial"/>
          <w:szCs w:val="22"/>
          <w:shd w:val="clear" w:color="FDFDFD" w:fill="FDFDFD"/>
        </w:rPr>
        <w:t xml:space="preserve"> &lt; 10</w:t>
      </w:r>
      <w:r w:rsidRPr="003916C4">
        <w:rPr>
          <w:rFonts w:eastAsia="Arial"/>
          <w:szCs w:val="22"/>
          <w:shd w:val="clear" w:color="FDFDFD" w:fill="FDFDFD"/>
          <w:vertAlign w:val="superscript"/>
        </w:rPr>
        <w:t>-</w:t>
      </w:r>
      <w:r>
        <w:rPr>
          <w:rFonts w:eastAsia="Arial"/>
          <w:szCs w:val="22"/>
          <w:shd w:val="clear" w:color="FDFDFD" w:fill="FDFDFD"/>
          <w:vertAlign w:val="superscript"/>
        </w:rPr>
        <w:t>3</w:t>
      </w:r>
      <w:r>
        <w:rPr>
          <w:rFonts w:eastAsia="Arial"/>
          <w:szCs w:val="22"/>
          <w:shd w:val="clear" w:color="FDFDFD" w:fill="FDFDFD"/>
        </w:rPr>
        <w:t xml:space="preserve"> s</w:t>
      </w:r>
      <w:r w:rsidRPr="00B54B14">
        <w:rPr>
          <w:rFonts w:eastAsia="Arial"/>
          <w:szCs w:val="22"/>
          <w:shd w:val="clear" w:color="FDFDFD" w:fill="FDFDFD"/>
          <w:vertAlign w:val="superscript"/>
        </w:rPr>
        <w:t>-1</w:t>
      </w:r>
      <w:r>
        <w:rPr>
          <w:rFonts w:eastAsia="Arial"/>
          <w:szCs w:val="22"/>
          <w:shd w:val="clear" w:color="FDFDFD" w:fill="FDFDFD"/>
        </w:rPr>
        <w:t>), whereas the duration of shock and ramp compression experiments (</w:t>
      </w:r>
      <m:oMath>
        <m:acc>
          <m:accPr>
            <m:chr m:val="̇"/>
            <m:ctrlPr>
              <w:rPr>
                <w:rFonts w:ascii="Cambria Math" w:eastAsia="Arial" w:hAnsi="Cambria Math"/>
                <w:i/>
                <w:szCs w:val="22"/>
                <w:shd w:val="clear" w:color="FDFDFD" w:fill="FDFDFD"/>
              </w:rPr>
            </m:ctrlPr>
          </m:accPr>
          <m:e>
            <m:r>
              <w:rPr>
                <w:rFonts w:ascii="Cambria Math" w:eastAsia="Arial" w:hAnsi="Cambria Math"/>
                <w:szCs w:val="22"/>
                <w:shd w:val="clear" w:color="FDFDFD" w:fill="FDFDFD"/>
              </w:rPr>
              <m:t>ε</m:t>
            </m:r>
          </m:e>
        </m:acc>
      </m:oMath>
      <w:r>
        <w:rPr>
          <w:rFonts w:eastAsia="Arial"/>
          <w:szCs w:val="22"/>
          <w:shd w:val="clear" w:color="FDFDFD" w:fill="FDFDFD"/>
        </w:rPr>
        <w:t xml:space="preserve"> = 10</w:t>
      </w:r>
      <w:r>
        <w:rPr>
          <w:rFonts w:eastAsia="Arial"/>
          <w:szCs w:val="22"/>
          <w:shd w:val="clear" w:color="FDFDFD" w:fill="FDFDFD"/>
          <w:vertAlign w:val="superscript"/>
        </w:rPr>
        <w:t>5</w:t>
      </w:r>
      <w:r>
        <w:rPr>
          <w:rFonts w:eastAsia="Arial"/>
          <w:szCs w:val="22"/>
          <w:shd w:val="clear" w:color="FDFDFD" w:fill="FDFDFD"/>
        </w:rPr>
        <w:t xml:space="preserve"> – 10</w:t>
      </w:r>
      <w:r>
        <w:rPr>
          <w:rFonts w:eastAsia="Arial"/>
          <w:szCs w:val="22"/>
          <w:shd w:val="clear" w:color="FDFDFD" w:fill="FDFDFD"/>
          <w:vertAlign w:val="superscript"/>
        </w:rPr>
        <w:t>9</w:t>
      </w:r>
      <w:r w:rsidRPr="00B54B14">
        <w:rPr>
          <w:rFonts w:eastAsia="Arial"/>
          <w:szCs w:val="22"/>
          <w:shd w:val="clear" w:color="FDFDFD" w:fill="FDFDFD"/>
        </w:rPr>
        <w:t xml:space="preserve"> </w:t>
      </w:r>
      <w:r>
        <w:rPr>
          <w:rFonts w:eastAsia="Arial"/>
          <w:szCs w:val="22"/>
          <w:shd w:val="clear" w:color="FDFDFD" w:fill="FDFDFD"/>
        </w:rPr>
        <w:t>s</w:t>
      </w:r>
      <w:r w:rsidRPr="00B54B14">
        <w:rPr>
          <w:rFonts w:eastAsia="Arial"/>
          <w:szCs w:val="22"/>
          <w:shd w:val="clear" w:color="FDFDFD" w:fill="FDFDFD"/>
          <w:vertAlign w:val="superscript"/>
        </w:rPr>
        <w:t>-1</w:t>
      </w:r>
      <w:r>
        <w:rPr>
          <w:rFonts w:eastAsia="Arial"/>
          <w:szCs w:val="22"/>
          <w:shd w:val="clear" w:color="FDFDFD" w:fill="FDFDFD"/>
        </w:rPr>
        <w:t>) ranges from nanoseconds (laser-driven) to microseconds (gas gun-driven). K</w:t>
      </w:r>
      <w:r w:rsidRPr="004742BD">
        <w:rPr>
          <w:rFonts w:eastAsia="Arial"/>
          <w:szCs w:val="22"/>
          <w:shd w:val="clear" w:color="FDFDFD" w:fill="FDFDFD"/>
        </w:rPr>
        <w:t>inetic effects</w:t>
      </w:r>
      <w:r>
        <w:rPr>
          <w:rFonts w:eastAsia="Arial"/>
          <w:szCs w:val="22"/>
          <w:shd w:val="clear" w:color="FDFDFD" w:fill="FDFDFD"/>
        </w:rPr>
        <w:t xml:space="preserve"> associated with phase transformations can sometimes </w:t>
      </w:r>
      <w:r w:rsidRPr="004742BD">
        <w:rPr>
          <w:rFonts w:eastAsia="Arial"/>
          <w:szCs w:val="22"/>
          <w:shd w:val="clear" w:color="FDFDFD" w:fill="FDFDFD"/>
        </w:rPr>
        <w:t xml:space="preserve">result in significant differences in </w:t>
      </w:r>
      <w:r>
        <w:rPr>
          <w:rFonts w:eastAsia="Arial"/>
          <w:szCs w:val="22"/>
          <w:shd w:val="clear" w:color="FDFDFD" w:fill="FDFDFD"/>
        </w:rPr>
        <w:t xml:space="preserve">the observed </w:t>
      </w:r>
      <w:r w:rsidRPr="004742BD">
        <w:rPr>
          <w:rFonts w:eastAsia="Arial"/>
          <w:szCs w:val="22"/>
          <w:shd w:val="clear" w:color="FDFDFD" w:fill="FDFDFD"/>
        </w:rPr>
        <w:t xml:space="preserve">phase </w:t>
      </w:r>
      <w:r>
        <w:rPr>
          <w:rFonts w:eastAsia="Arial"/>
          <w:szCs w:val="22"/>
          <w:shd w:val="clear" w:color="FDFDFD" w:fill="FDFDFD"/>
        </w:rPr>
        <w:t xml:space="preserve">transition pressures and temperatures under dynamic and static pressure conditions </w:t>
      </w:r>
      <w:r w:rsidRPr="009F5AF0">
        <w:rPr>
          <w:rFonts w:eastAsia="Arial"/>
          <w:szCs w:val="22"/>
          <w:shd w:val="clear" w:color="FDFDFD" w:fill="FDFDFD"/>
        </w:rPr>
        <w:fldChar w:fldCharType="begin"/>
      </w:r>
      <w:r w:rsidR="006722F5">
        <w:rPr>
          <w:rFonts w:eastAsia="Arial"/>
          <w:szCs w:val="22"/>
          <w:shd w:val="clear" w:color="FDFDFD" w:fill="FDFDFD"/>
        </w:rPr>
        <w:instrText xml:space="preserve"> ADDIN ZOTERO_ITEM CSL_CITATION {"citationID":"J6sqSLME","properties":{"unsorted":true,"formattedCitation":"(Gorman {\\i{}et al.}, 2018; P\\uc0\\u233{}pin {\\i{}et al.}, 2019; Coleman {\\i{}et al.}, 2019; Marshall {\\i{}et al.}, 2021)","plainCitation":"(Gorman et al., 2018; Pépin et al., 2019; Coleman et al., 2019; Marshall et al., 2021)","noteIndex":0},"citationItems":[{"id":146,"uris":["http://zotero.org/users/local/dwaXvkNj/items/6VR3DZVP"],"uri":["http://zotero.org/users/local/dwaXvkNj/items/6VR3DZVP"],"itemData":{"id":146,"type":"article-journal","title":"Femtosecond diffraction studies of solid and liquid phase changes in shock-compressed bismuth","container-title":"Scientific Reports","page":"16927","volume":"8","issue":"1","source":"www.nature.com","abstract":"Bismuth has long been a prototypical system for investigating phase transformations and melting at high pressure. Despite decades of experimental study, however, the lattice-level response of Bi to rapid (shock) compression and the relationship between structures occurring dynamically and those observed during slow (static) compression, are still not clearly understood. We have determined the structural response of shock-compressed Bi to 68 GPa using femtosecond X-ray diffraction, thereby revealing the phase transition sequence and equation-of-state in unprecedented detail for the first time. We show that shocked-Bi exhibits a marked departure from equilibrium behavior - the incommensurate Bi-III phase is not observed, but rather a new metastable phase, and the Bi-V phase is formed at significantly lower pressures compared to static compression studies. We also directly measure structural changes in a shocked liquid for the first time. These observations reveal new behaviour in the solid and liquid phases of a shocked material and give important insights into the validity of comparing static and dynamic datasets.","DOI":"10.1038/s41598-018-35260-3","ISSN":"2045-2322","journalAbbreviation":"Sci. Rep.","language":"en","author":[{"family":"Gorman","given":"M. G."},{"family":"Coleman","given":"A. L."},{"family":"Briggs","given":"R."},{"family":"McWilliams","given":"R. S."},{"family":"McGonegle","given":"D."},{"family":"Bolme","given":"C. A."},{"family":"Gleason","given":"A. E."},{"family":"Galtier","given":"E."},{"family":"Lee","given":"H. J."},{"family":"Granados","given":"E."},{"family":"Śliwa","given":"M."},{"family":"Sanloup","given":"C."},{"family":"Rothman","given":"S."},{"family":"Fratanduono","given":"D. E."},{"family":"Smith","given":"R. F."},{"family":"Collins","given":"G. W."},{"family":"Eggert","given":"J. H."},{"family":"Wark","given":"J. S."},{"family":"McMahon","given":"M. I."}],"issued":{"date-parts":[["2018",11,16]]}}},{"id":"k3ssTldU/tQpuTgNH","uris":["http://zotero.org/users/local/uJBp8IoE/items/6ED4XNZB"],"uri":["http://zotero.org/users/local/uJBp8IoE/items/6ED4XNZB"],"itemData":{"id":269,"type":"article-journal","abstract":"Synchrotron nanosecond time-resolved x-ray diffraction has been performed on dynamically compressed bismuth along various compression and release paths, hence exploring the Bi phase diagram up to 8 GPa and 600 K. Marked departures from the static phase diagram is observed. The sequence of structural changes is different upon compression and release. The Bi-III complex host-guest structure is never obtained. Instead the Bi-V phase is observed over a large domain. Melting of Bi-V and crystallization of the fluid into Bi-I are clearly identified on stress release. Supercooling and superheating deviations to the equilibrium melting line are observed. These observations on a prototypical system underline the possible deviations between the phase diagram obtained by dynamical compression and the one under static pressure.","container-title":"Physical Review B","DOI":"10.1103/PhysRevB.100.060101","issue":"6","journalAbbreviation":"Phys. Rev. B","note":"publisher: American Physical Society","page":"060101","source":"APS","title":"Kinetics and structural changes in dynamically compressed bismuth","volume":"100","author":[{"family":"Pépin","given":"Charles M."},{"family":"Sollier","given":"Arnaud"},{"family":"Marizy","given":"Adrien"},{"family":"Occelli","given":"Florent"},{"family":"Sander","given":"Mathias"},{"family":"Torchio","given":"Raffaella"},{"family":"Loubeyre","given":"Paul"}],"issued":{"date-parts":[["2019",8,5]]}}},{"id":"k3ssTldU/4Bg7e9v0","uris":["http://zotero.org/users/local/uJBp8IoE/items/KB9ERAY2"],"uri":["http://zotero.org/users/local/uJBp8IoE/items/KB9ERAY2"],"itemData":{"id":325,"type":"article-journal","abstract":"Ultrafast x-ray diffraction at the LCLS x-ray free electron laser has been used to resolve the structural behavior of antimony under shock compression to 59 GPa. Antimony is seen to transform to the incommensurate, host-guest phase Sb-II at </w:instrText>
      </w:r>
      <w:r w:rsidR="006722F5">
        <w:rPr>
          <w:rFonts w:ascii="Cambria Math" w:eastAsia="Arial" w:hAnsi="Cambria Math" w:cs="Cambria Math"/>
          <w:szCs w:val="22"/>
          <w:shd w:val="clear" w:color="FDFDFD" w:fill="FDFDFD"/>
        </w:rPr>
        <w:instrText>∼</w:instrText>
      </w:r>
      <w:r w:rsidR="006722F5">
        <w:rPr>
          <w:rFonts w:eastAsia="Arial"/>
          <w:szCs w:val="22"/>
          <w:shd w:val="clear" w:color="FDFDFD" w:fill="FDFDFD"/>
        </w:rPr>
        <w:instrText xml:space="preserve">11 GPa, which forms on nanosecond timescales with ordered guest-atom chains. The high-pressure bcc phase Sb-III is observed above </w:instrText>
      </w:r>
      <w:r w:rsidR="006722F5">
        <w:rPr>
          <w:rFonts w:ascii="Cambria Math" w:eastAsia="Arial" w:hAnsi="Cambria Math" w:cs="Cambria Math"/>
          <w:szCs w:val="22"/>
          <w:shd w:val="clear" w:color="FDFDFD" w:fill="FDFDFD"/>
        </w:rPr>
        <w:instrText>∼</w:instrText>
      </w:r>
      <w:r w:rsidR="006722F5">
        <w:rPr>
          <w:rFonts w:eastAsia="Arial"/>
          <w:szCs w:val="22"/>
          <w:shd w:val="clear" w:color="FDFDFD" w:fill="FDFDFD"/>
        </w:rPr>
        <w:instrText xml:space="preserve">15 GPa, some 8 GPa lower than in static compression studies, and mixed Sb-III/liquid diffraction are obtained between 38 and 59 GPa. An additional phase which does not exist under static compression, Sb−I′, is also observed between 8 and 12 GPa, beyond the normal stability field of Sb-I, and resembles Sb-I with a resolved Peierls distortion. The incommensurate Sb-II high-pressure phase can be recovered metastably on release to ambient pressure, where it is stable for more than 10 ns.","container-title":"Physical Review Letters","DOI":"10.1103/PhysRevLett.122.255704","issue":"25","journalAbbreviation":"Phys. Rev. Lett.","note":"publisher: American Physical Society","page":"255704","source":"APS","title":"Identification of Phase Transitions and Metastability in Dynamically Compressed Antimony Using Ultrafast X-Ray Diffraction","volume":"122","author":[{"family":"Coleman","given":"A. L."},{"family":"Gorman","given":"M. G."},{"family":"Briggs","given":"R."},{"family":"McWilliams","given":"R. S."},{"family":"McGonegle","given":"D."},{"family":"Bolme","given":"C. A."},{"family":"Gleason","given":"A. E."},{"family":"Fratanduono","given":"D. E."},{"family":"Smith","given":"R. F."},{"family":"Galtier","given":"E."},{"family":"Lee","given":"H. J."},{"family":"Nagler","given":"B."},{"family":"Granados","given":"E."},{"family":"Collins","given":"G. W."},{"family":"Eggert","given":"J. H."},{"family":"Wark","given":"J. S."},{"family":"McMahon","given":"M. I."}],"issued":{"date-parts":[["2019",6,28]]}}},{"id":"k3ssTldU/0qUmmOSV","uris":["http://zotero.org/users/local/uJBp8IoE/items/G2H4J6JP"],"uri":["http://zotero.org/users/local/uJBp8IoE/items/G2H4J6JP"],"itemData":{"id":369,"type":"article-journal","abstract":"The ubiquitous nature and unusual properties of water have motivated many studies on its metastability under temperature- or pressure-induced phase transformations. Here, nanosecond compression by a high-power laser is used to create the nonequilibrium conditions where liquid water persists well into the stable region of ice VII. Through our experiments, as well as a complementary theoretical-computational analysis based on classical nucleation theory, we report that the metastability limit of liquid water under nearly isentropic compression from ambient conditions is at least 8 GPa, higher than the 7 GPa previously reported for lower loading rates.","container-title":"Physical Review Letters","DOI":"10.1103/PhysRevLett.127.135701","issue":"13","journalAbbreviation":"Phys. Rev. Lett.","note":"publisher: American Physical Society","page":"135701","source":"APS","title":"Metastability of Liquid Water Freezing into Ice VII under Dynamic Compression","volume":"127","author":[{"family":"Marshall","given":"M. C."},{"family":"Millot","given":"M."},{"family":"Fratanduono","given":"D. E."},{"family":"Sterbentz","given":"D. M."},{"family":"Myint","given":"P. C."},{"family":"Belof","given":"J. L."},{"family":"Kim","given":"Y.-J."},{"family":"Coppari","given":"F."},{"family":"Ali","given":"S. J."},{"family":"Eggert","given":"J. H."},{"family":"Smith","given":"R. F."},{"family":"McNaney","given":"J. M."}],"issued":{"date-parts":[["2021",9,23]]}}}],"schema":"https://github.com/citation-style-language/schema/raw/master/csl-citation.json"} </w:instrText>
      </w:r>
      <w:r w:rsidRPr="009F5AF0">
        <w:rPr>
          <w:rFonts w:eastAsia="Arial"/>
          <w:szCs w:val="22"/>
          <w:shd w:val="clear" w:color="FDFDFD" w:fill="FDFDFD"/>
        </w:rPr>
        <w:fldChar w:fldCharType="separate"/>
      </w:r>
      <w:r w:rsidRPr="00F16F0F">
        <w:t xml:space="preserve">(Gorman </w:t>
      </w:r>
      <w:r w:rsidRPr="00F16F0F">
        <w:rPr>
          <w:i/>
          <w:iCs/>
        </w:rPr>
        <w:t>et al.</w:t>
      </w:r>
      <w:r w:rsidRPr="00F16F0F">
        <w:t xml:space="preserve">, 2018; Pépin </w:t>
      </w:r>
      <w:r w:rsidRPr="00F16F0F">
        <w:rPr>
          <w:i/>
          <w:iCs/>
        </w:rPr>
        <w:t>et al.</w:t>
      </w:r>
      <w:r w:rsidRPr="00F16F0F">
        <w:t xml:space="preserve">, 2019; Coleman </w:t>
      </w:r>
      <w:r w:rsidRPr="00F16F0F">
        <w:rPr>
          <w:i/>
          <w:iCs/>
        </w:rPr>
        <w:t>et al.</w:t>
      </w:r>
      <w:r w:rsidRPr="00F16F0F">
        <w:t xml:space="preserve">, 2019; Marshall </w:t>
      </w:r>
      <w:r w:rsidRPr="00F16F0F">
        <w:rPr>
          <w:i/>
          <w:iCs/>
        </w:rPr>
        <w:t>et al.</w:t>
      </w:r>
      <w:r w:rsidRPr="00F16F0F">
        <w:t>, 2021)</w:t>
      </w:r>
      <w:r w:rsidRPr="009F5AF0">
        <w:rPr>
          <w:rFonts w:eastAsia="Arial"/>
          <w:szCs w:val="22"/>
          <w:shd w:val="clear" w:color="FDFDFD" w:fill="FDFDFD"/>
        </w:rPr>
        <w:fldChar w:fldCharType="end"/>
      </w:r>
      <w:r w:rsidRPr="00FC1152">
        <w:rPr>
          <w:rFonts w:eastAsia="Arial"/>
          <w:szCs w:val="22"/>
          <w:shd w:val="clear" w:color="FDFDFD" w:fill="FDFDFD"/>
        </w:rPr>
        <w:t xml:space="preserve">. </w:t>
      </w:r>
      <w:r>
        <w:rPr>
          <w:rFonts w:eastAsia="Arial"/>
          <w:bCs/>
          <w:shd w:val="clear" w:color="FDFDFD" w:fill="FDFDFD"/>
        </w:rPr>
        <w:t xml:space="preserve">In extreme cases, equilibrium phases can be completely absent in shock compression experiments </w:t>
      </w:r>
      <w:r>
        <w:rPr>
          <w:rFonts w:eastAsia="Arial"/>
          <w:bCs/>
          <w:shd w:val="clear" w:color="FDFDFD" w:fill="FDFDFD"/>
        </w:rPr>
        <w:fldChar w:fldCharType="begin"/>
      </w:r>
      <w:r w:rsidR="006722F5">
        <w:rPr>
          <w:rFonts w:eastAsia="Arial"/>
          <w:bCs/>
          <w:shd w:val="clear" w:color="FDFDFD" w:fill="FDFDFD"/>
        </w:rPr>
        <w:instrText xml:space="preserve"> ADDIN ZOTERO_ITEM CSL_CITATION {"citationID":"CrGdixg3","properties":{"formattedCitation":"(Gorman {\\i{}et al.}, 2018; P\\uc0\\u233{}pin {\\i{}et al.}, 2019)","plainCitation":"(Gorman et al., 2018; Pépin et al., 2019)","noteIndex":0},"citationItems":[{"id":146,"uris":["http://zotero.org/users/local/dwaXvkNj/items/6VR3DZVP"],"uri":["http://zotero.org/users/local/dwaXvkNj/items/6VR3DZVP"],"itemData":{"id":146,"type":"article-journal","title":"Femtosecond diffraction studies of solid and liquid phase changes in shock-compressed bismuth","container-title":"Scientific Reports","page":"16927","volume":"8","issue":"1","source":"www.nature.com","abstract":"Bismuth has long been a prototypical system for investigating phase transformations and melting at high pressure. Despite decades of experimental study, however, the lattice-level response of Bi to rapid (shock) compression and the relationship between structures occurring dynamically and those observed during slow (static) compression, are still not clearly understood. We have determined the structural response of shock-compressed Bi to 68 GPa using femtosecond X-ray diffraction, thereby revealing the phase transition sequence and equation-of-state in unprecedented detail for the first time. We show that shocked-Bi exhibits a marked departure from equilibrium behavior - the incommensurate Bi-III phase is not observed, but rather a new metastable phase, and the Bi-V phase is formed at significantly lower pressures compared to static compression studies. We also directly measure structural changes in a shocked liquid for the first time. These observations reveal new behaviour in the solid and liquid phases of a shocked material and give important insights into the validity of comparing static and dynamic datasets.","DOI":"10.1038/s41598-018-35260-3","ISSN":"2045-2322","journalAbbreviation":"Sci. Rep.","language":"en","author":[{"family":"Gorman","given":"M. G."},{"family":"Coleman","given":"A. L."},{"family":"Briggs","given":"R."},{"family":"McWilliams","given":"R. S."},{"family":"McGonegle","given":"D."},{"family":"Bolme","given":"C. A."},{"family":"Gleason","given":"A. E."},{"family":"Galtier","given":"E."},{"family":"Lee","given":"H. J."},{"family":"Granados","given":"E."},{"family":"Śliwa","given":"M."},{"family":"Sanloup","given":"C."},{"family":"Rothman","given":"S."},{"family":"Fratanduono","given":"D. E."},{"family":"Smith","given":"R. F."},{"family":"Collins","given":"G. W."},{"family":"Eggert","given":"J. H."},{"family":"Wark","given":"J. S."},{"family":"McMahon","given":"M. I."}],"issued":{"date-parts":[["2018",11,16]]}}},{"id":"k3ssTldU/tQpuTgNH","uris":["http://zotero.org/users/local/uJBp8IoE/items/6ED4XNZB"],"uri":["http://zotero.org/users/local/uJBp8IoE/items/6ED4XNZB"],"itemData":{"id":"asptIn7U/VFHz2DyO","type":"article-journal","abstract":"Synchrotron nanosecond time-resolved x-ray diffraction has been performed on dynamically compressed bismuth along various compression and release paths, hence exploring the Bi phase diagram up to 8 GPa and 600 K. Marked departures from the static phase diagram is observed. The sequence of structural changes is different upon compression and release. The Bi-III complex host-guest structure is never obtained. Instead the Bi-V phase is observed over a large domain. Melting of Bi-V and crystallization of the fluid into Bi-I are clearly identified on stress release. Supercooling and superheating deviations to the equilibrium melting line are observed. These observations on a prototypical system underline the possible deviations between the phase diagram obtained by dynamical compression and the one under static pressure.","container-title":"Physical Review B","DOI":"10.1103/PhysRevB.100.060101","issue":"6","journalAbbreviation":"Phys. Rev. B","note":"publisher: American Physical Society","page":"060101","source":"APS","title":"Kinetics and structural changes in dynamically compressed bismuth","volume":"100","author":[{"family":"Pépin","given":"Charles M."},{"family":"Sollier","given":"Arnaud"},{"family":"Marizy","given":"Adrien"},{"family":"Occelli","given":"Florent"},{"family":"Sander","given":"Mathias"},{"family":"Torchio","given":"Raffaella"},{"family":"Loubeyre","given":"Paul"}],"issued":{"date-parts":[["2019",8,5]]}}}],"schema":"https://github.com/citation-style-language/schema/raw/master/csl-citation.json"} </w:instrText>
      </w:r>
      <w:r>
        <w:rPr>
          <w:rFonts w:eastAsia="Arial"/>
          <w:bCs/>
          <w:shd w:val="clear" w:color="FDFDFD" w:fill="FDFDFD"/>
        </w:rPr>
        <w:fldChar w:fldCharType="separate"/>
      </w:r>
      <w:r w:rsidRPr="00F16F0F">
        <w:t xml:space="preserve">(Gorman </w:t>
      </w:r>
      <w:r w:rsidRPr="00F16F0F">
        <w:rPr>
          <w:i/>
          <w:iCs/>
        </w:rPr>
        <w:t>et al.</w:t>
      </w:r>
      <w:r w:rsidRPr="00F16F0F">
        <w:t xml:space="preserve">, 2018; Pépin </w:t>
      </w:r>
      <w:r w:rsidRPr="00F16F0F">
        <w:rPr>
          <w:i/>
          <w:iCs/>
        </w:rPr>
        <w:t>et al.</w:t>
      </w:r>
      <w:r w:rsidRPr="00F16F0F">
        <w:t>, 2019)</w:t>
      </w:r>
      <w:r>
        <w:rPr>
          <w:rFonts w:eastAsia="Arial"/>
          <w:bCs/>
          <w:shd w:val="clear" w:color="FDFDFD" w:fill="FDFDFD"/>
        </w:rPr>
        <w:fldChar w:fldCharType="end"/>
      </w:r>
      <w:r>
        <w:rPr>
          <w:rFonts w:eastAsia="Arial"/>
          <w:bCs/>
          <w:shd w:val="clear" w:color="FDFDFD" w:fill="FDFDFD"/>
        </w:rPr>
        <w:t xml:space="preserve">, or metastable structures can form </w:t>
      </w:r>
      <w:r>
        <w:rPr>
          <w:rFonts w:eastAsia="Arial"/>
          <w:bCs/>
          <w:shd w:val="clear" w:color="FDFDFD" w:fill="FDFDFD"/>
        </w:rPr>
        <w:fldChar w:fldCharType="begin"/>
      </w:r>
      <w:r w:rsidR="006722F5">
        <w:rPr>
          <w:rFonts w:eastAsia="Arial"/>
          <w:bCs/>
          <w:shd w:val="clear" w:color="FDFDFD" w:fill="FDFDFD"/>
        </w:rPr>
        <w:instrText xml:space="preserve"> ADDIN ZOTERO_ITEM CSL_CITATION {"citationID":"RCm4QTKa","properties":{"formattedCitation":"(Gorman {\\i{}et al.}, 2018; P\\uc0\\u233{}pin {\\i{}et al.}, 2019; Coleman {\\i{}et al.}, 2019)","plainCitation":"(Gorman et al., 2018; Pépin et al., 2019; Coleman et al., 2019)","noteIndex":0},"citationItems":[{"id":146,"uris":["http://zotero.org/users/local/dwaXvkNj/items/6VR3DZVP"],"uri":["http://zotero.org/users/local/dwaXvkNj/items/6VR3DZVP"],"itemData":{"id":146,"type":"article-journal","title":"Femtosecond diffraction studies of solid and liquid phase changes in shock-compressed bismuth","container-title":"Scientific Reports","page":"16927","volume":"8","issue":"1","source":"www.nature.com","abstract":"Bismuth has long been a prototypical system for investigating phase transformations and melting at high pressure. Despite decades of experimental study, however, the lattice-level response of Bi to rapid (shock) compression and the relationship between structures occurring dynamically and those observed during slow (static) compression, are still not clearly understood. We have determined the structural response of shock-compressed Bi to 68 GPa using femtosecond X-ray diffraction, thereby revealing the phase transition sequence and equation-of-state in unprecedented detail for the first time. We show that shocked-Bi exhibits a marked departure from equilibrium behavior - the incommensurate Bi-III phase is not observed, but rather a new metastable phase, and the Bi-V phase is formed at significantly lower pressures compared to static compression studies. We also directly measure structural changes in a shocked liquid for the first time. These observations reveal new behaviour in the solid and liquid phases of a shocked material and give important insights into the validity of comparing static and dynamic datasets.","DOI":"10.1038/s41598-018-35260-3","ISSN":"2045-2322","journalAbbreviation":"Sci. Rep.","language":"en","author":[{"family":"Gorman","given":"M. G."},{"family":"Coleman","given":"A. L."},{"family":"Briggs","given":"R."},{"family":"McWilliams","given":"R. S."},{"family":"McGonegle","given":"D."},{"family":"Bolme","given":"C. A."},{"family":"Gleason","given":"A. E."},{"family":"Galtier","given":"E."},{"family":"Lee","given":"H. J."},{"family":"Granados","given":"E."},{"family":"Śliwa","given":"M."},{"family":"Sanloup","given":"C."},{"family":"Rothman","given":"S."},{"family":"Fratanduono","given":"D. E."},{"family":"Smith","given":"R. F."},{"family":"Collins","given":"G. W."},{"family":"Eggert","given":"J. H."},{"family":"Wark","given":"J. S."},{"family":"McMahon","given":"M. I."}],"issued":{"date-parts":[["2018",11,16]]}}},{"id":"k3ssTldU/tQpuTgNH","uris":["http://zotero.org/users/local/uJBp8IoE/items/6ED4XNZB"],"uri":["http://zotero.org/users/local/uJBp8IoE/items/6ED4XNZB"],"itemData":{"id":"asptIn7U/VFHz2DyO","type":"article-journal","abstract":"Synchrotron nanosecond time-resolved x-ray diffraction has been performed on dynamically compressed bismuth along various compression and release paths, hence exploring the Bi phase diagram up to 8 GPa and 600 K. Marked departures from the static phase diagram is observed. The sequence of structural changes is different upon compression and release. The Bi-III complex host-guest structure is never obtained. Instead the Bi-V phase is observed over a large domain. Melting of Bi-V and crystallization of the fluid into Bi-I are clearly identified on stress release. Supercooling and superheating deviations to the equilibrium melting line are observed. These observations on a prototypical system underline the possible deviations between the phase diagram obtained by dynamical compression and the one under static pressure.","container-title":"Physical Review B","DOI":"10.1103/PhysRevB.100.060101","issue":"6","journalAbbreviation":"Phys. Rev. B","note":"publisher: American Physical Society","page":"060101","source":"APS","title":"Kinetics and structural changes in dynamically compressed bismuth","volume":"100","author":[{"family":"Pépin","given":"Charles M."},{"family":"Sollier","given":"Arnaud"},{"family":"Marizy","given":"Adrien"},{"family":"Occelli","given":"Florent"},{"family":"Sander","given":"Mathias"},{"family":"Torchio","given":"Raffaella"},{"family":"Loubeyre","given":"Paul"}],"issued":{"date-parts":[["2019",8,5]]}}},{"id":"k3ssTldU/4Bg7e9v0","uris":["http://zotero.org/users/local/uJBp8IoE/items/KB9ERAY2"],"uri":["http://zotero.org/users/local/uJBp8IoE/items/KB9ERAY2"],"itemData":{"id":"asptIn7U/NlZYz2jZ","type":"article-journal","abstract":"Ultrafast x-ray diffraction at the LCLS x-ray free electron laser has been used to resolve the structural behavior of antimony under shock compression to 59 GPa. Antimony is seen to transform to the incommensurate, host-guest phase Sb-II at </w:instrText>
      </w:r>
      <w:r w:rsidR="006722F5">
        <w:rPr>
          <w:rFonts w:ascii="Cambria Math" w:eastAsia="Arial" w:hAnsi="Cambria Math" w:cs="Cambria Math"/>
          <w:bCs/>
          <w:shd w:val="clear" w:color="FDFDFD" w:fill="FDFDFD"/>
        </w:rPr>
        <w:instrText>∼</w:instrText>
      </w:r>
      <w:r w:rsidR="006722F5">
        <w:rPr>
          <w:rFonts w:eastAsia="Arial"/>
          <w:bCs/>
          <w:shd w:val="clear" w:color="FDFDFD" w:fill="FDFDFD"/>
        </w:rPr>
        <w:instrText xml:space="preserve">11 GPa, which forms on nanosecond timescales with ordered guest-atom chains. The high-pressure bcc phase Sb-III is observed above </w:instrText>
      </w:r>
      <w:r w:rsidR="006722F5">
        <w:rPr>
          <w:rFonts w:ascii="Cambria Math" w:eastAsia="Arial" w:hAnsi="Cambria Math" w:cs="Cambria Math"/>
          <w:bCs/>
          <w:shd w:val="clear" w:color="FDFDFD" w:fill="FDFDFD"/>
        </w:rPr>
        <w:instrText>∼</w:instrText>
      </w:r>
      <w:r w:rsidR="006722F5">
        <w:rPr>
          <w:rFonts w:eastAsia="Arial"/>
          <w:bCs/>
          <w:shd w:val="clear" w:color="FDFDFD" w:fill="FDFDFD"/>
        </w:rPr>
        <w:instrText xml:space="preserve">15 GPa, some 8 GPa lower than in static compression studies, and mixed Sb-III/liquid diffraction are obtained between 38 and 59 GPa. An additional phase which does not exist under static compression, Sb−I′, is also observed between 8 and 12 GPa, beyond the normal stability field of Sb-I, and resembles Sb-I with a resolved Peierls distortion. The incommensurate Sb-II high-pressure phase can be recovered metastably on release to ambient pressure, where it is stable for more than 10 ns.","container-title":"Physical Review Letters","DOI":"10.1103/PhysRevLett.122.255704","issue":"25","journalAbbreviation":"Phys. Rev. Lett.","note":"publisher: American Physical Society","page":"255704","source":"APS","title":"Identification of Phase Transitions and Metastability in Dynamically Compressed Antimony Using Ultrafast X-Ray Diffraction","volume":"122","author":[{"family":"Coleman","given":"A. L."},{"family":"Gorman","given":"M. G."},{"family":"Briggs","given":"R."},{"family":"McWilliams","given":"R. S."},{"family":"McGonegle","given":"D."},{"family":"Bolme","given":"C. A."},{"family":"Gleason","given":"A. E."},{"family":"Fratanduono","given":"D. E."},{"family":"Smith","given":"R. F."},{"family":"Galtier","given":"E."},{"family":"Lee","given":"H. J."},{"family":"Nagler","given":"B."},{"family":"Granados","given":"E."},{"family":"Collins","given":"G. W."},{"family":"Eggert","given":"J. H."},{"family":"Wark","given":"J. S."},{"family":"McMahon","given":"M. I."}],"issued":{"date-parts":[["2019",6,28]]}}}],"schema":"https://github.com/citation-style-language/schema/raw/master/csl-citation.json"} </w:instrText>
      </w:r>
      <w:r>
        <w:rPr>
          <w:rFonts w:eastAsia="Arial"/>
          <w:bCs/>
          <w:shd w:val="clear" w:color="FDFDFD" w:fill="FDFDFD"/>
        </w:rPr>
        <w:fldChar w:fldCharType="separate"/>
      </w:r>
      <w:r w:rsidRPr="00F16F0F">
        <w:t xml:space="preserve">(Gorman </w:t>
      </w:r>
      <w:r w:rsidRPr="00F16F0F">
        <w:rPr>
          <w:i/>
          <w:iCs/>
        </w:rPr>
        <w:t>et al.</w:t>
      </w:r>
      <w:r w:rsidRPr="00F16F0F">
        <w:t xml:space="preserve">, 2018; Pépin </w:t>
      </w:r>
      <w:r w:rsidRPr="00F16F0F">
        <w:rPr>
          <w:i/>
          <w:iCs/>
        </w:rPr>
        <w:t>et al.</w:t>
      </w:r>
      <w:r w:rsidRPr="00F16F0F">
        <w:t xml:space="preserve">, 2019; Coleman </w:t>
      </w:r>
      <w:r w:rsidRPr="00F16F0F">
        <w:rPr>
          <w:i/>
          <w:iCs/>
        </w:rPr>
        <w:t>et al.</w:t>
      </w:r>
      <w:r w:rsidRPr="00F16F0F">
        <w:t>, 2019)</w:t>
      </w:r>
      <w:r>
        <w:rPr>
          <w:rFonts w:eastAsia="Arial"/>
          <w:bCs/>
          <w:shd w:val="clear" w:color="FDFDFD" w:fill="FDFDFD"/>
        </w:rPr>
        <w:fldChar w:fldCharType="end"/>
      </w:r>
      <w:r>
        <w:rPr>
          <w:rFonts w:eastAsia="Arial"/>
          <w:bCs/>
          <w:shd w:val="clear" w:color="FDFDFD" w:fill="FDFDFD"/>
        </w:rPr>
        <w:t xml:space="preserve">. </w:t>
      </w:r>
      <w:r w:rsidRPr="00B92EF9">
        <w:rPr>
          <w:rFonts w:eastAsia="Arial"/>
          <w:bCs/>
          <w:szCs w:val="22"/>
          <w:shd w:val="clear" w:color="FDFDFD" w:fill="FDFDFD"/>
        </w:rPr>
        <w:t>Phase boundaries</w:t>
      </w:r>
      <w:r w:rsidRPr="00547BB8">
        <w:rPr>
          <w:rFonts w:eastAsia="Arial"/>
          <w:bCs/>
          <w:szCs w:val="22"/>
          <w:shd w:val="clear" w:color="FDFDFD" w:fill="FDFDFD"/>
        </w:rPr>
        <w:t xml:space="preserve"> can also be influenced by the </w:t>
      </w:r>
      <w:r w:rsidRPr="00547BB8">
        <w:rPr>
          <w:rFonts w:eastAsia="Arial"/>
          <w:bCs/>
          <w:szCs w:val="22"/>
          <w:shd w:val="clear" w:color="FDFDFD" w:fill="FDFDFD"/>
        </w:rPr>
        <w:lastRenderedPageBreak/>
        <w:t>presence of significant shear stresses in shock and ramp compression experiments</w:t>
      </w:r>
      <w:r>
        <w:rPr>
          <w:rFonts w:eastAsia="Arial"/>
          <w:bCs/>
          <w:szCs w:val="22"/>
          <w:shd w:val="clear" w:color="FDFDFD" w:fill="FDFDFD"/>
        </w:rPr>
        <w:t xml:space="preserve"> </w:t>
      </w:r>
      <w:r w:rsidRPr="00547BB8">
        <w:rPr>
          <w:rFonts w:eastAsia="Arial"/>
          <w:bCs/>
          <w:szCs w:val="22"/>
          <w:shd w:val="clear" w:color="FDFDFD" w:fill="FDFDFD"/>
        </w:rPr>
        <w:t xml:space="preserve">due to uniaxial compression </w:t>
      </w:r>
      <w:r w:rsidRPr="00B92EF9">
        <w:rPr>
          <w:rFonts w:eastAsia="Arial"/>
          <w:bCs/>
          <w:szCs w:val="22"/>
          <w:shd w:val="clear" w:color="FDFDFD" w:fill="FDFDFD"/>
        </w:rPr>
        <w:fldChar w:fldCharType="begin"/>
      </w:r>
      <w:r w:rsidR="006722F5">
        <w:rPr>
          <w:rFonts w:eastAsia="Arial"/>
          <w:bCs/>
          <w:szCs w:val="22"/>
          <w:shd w:val="clear" w:color="FDFDFD" w:fill="FDFDFD"/>
        </w:rPr>
        <w:instrText xml:space="preserve"> ADDIN ZOTERO_ITEM CSL_CITATION {"citationID":"wcke2D1x","properties":{"formattedCitation":"(McBride {\\i{}et al.}, 2019)","plainCitation":"(McBride et al., 2019)","noteIndex":0},"citationItems":[{"id":133,"uris":["http://zotero.org/users/local/dwaXvkNj/items/S9ZDRJGS"],"uri":["http://zotero.org/users/local/dwaXvkNj/items/S9ZDRJGS"],"itemData":{"id":133,"type":"article-journal","title":"Phase transition lowering in dynamically compressed silicon","container-title":"Nature Physics","page":"89-94","volume":"15","issue":"1","source":"www.nature.com","abstract":"Silicon, being one of the most abundant elements in nature, attracts wide-ranging scientific and technological interest. Specifically, in its elemental form, crystals of remarkable purity can be produced. One may assume that this would lead to silicon being well understood, and indeed, this is the case for many ambient properties, as well as for higher-pressure behaviour under quasi-static loading. However, despite many decades of study, a detailed understanding of the response of silicon to rapid compression—such as that experienced under shock impact—remains elusive. Here, we combine a novel free-electron laser-based X-ray diffraction geometry with laser-driven compression to elucidate the importance of shear generated during shock compression on the occurrence of phase transitions. We observe lowering of the hydrostatic phase boundary in elemental silicon, an ideal model system for investigating high-strength materials, analogous to planetary constituents. Moreover, we unambiguously determine the onset of melting above 14 GPa, previously ascribed to a solid–solid phase transition, undetectable in the now conventional shocked diffraction geometry; transitions to the liquid state are expected to be ubiquitous in all systems at sufficiently high pressures and temperatures.","DOI":"10.1038/s41567-018-0290-x","ISSN":"1745-2481","journalAbbreviation":"Nat. Phys.","language":"en","author":[{"family":"McBride","given":"E. E."},{"family":"Krygier","given":"A."},{"family":"Ehnes","given":"A."},{"family":"Galtier","given":"E."},{"family":"Harmand","given":"M."},{"family":"Konôpková","given":"Z."},{"family":"Lee","given":"H. J."},{"family":"Liermann","given":"H.-P."},{"family":"Nagler","given":"B."},{"family":"Pelka","given":"A."},{"family":"Rödel","given":"M."},{"family":"Schropp","given":"A."},{"family":"Smith","given":"R. F."},{"family":"Spindloe","given":"C."},{"family":"Swift","given":"D."},{"family":"Tavella","given":"F."},{"family":"Toleikis","given":"S."},{"family":"Tschentscher","given":"T."},{"family":"Wark","given":"J. S."},{"family":"Higginbotham","given":"A."}],"issued":{"date-parts":[["2019",1]]}}}],"schema":"https://github.com/citation-style-language/schema/raw/master/csl-citation.json"} </w:instrText>
      </w:r>
      <w:r w:rsidRPr="00B92EF9">
        <w:rPr>
          <w:rFonts w:eastAsia="Arial"/>
          <w:bCs/>
          <w:szCs w:val="22"/>
          <w:shd w:val="clear" w:color="FDFDFD" w:fill="FDFDFD"/>
        </w:rPr>
        <w:fldChar w:fldCharType="separate"/>
      </w:r>
      <w:r w:rsidRPr="00EF5B0A">
        <w:t xml:space="preserve">(McBride </w:t>
      </w:r>
      <w:r w:rsidRPr="00EF5B0A">
        <w:rPr>
          <w:i/>
          <w:iCs/>
        </w:rPr>
        <w:t>et al.</w:t>
      </w:r>
      <w:r w:rsidRPr="00EF5B0A">
        <w:t>, 2019)</w:t>
      </w:r>
      <w:r w:rsidRPr="00B92EF9">
        <w:rPr>
          <w:rFonts w:eastAsia="Arial"/>
          <w:bCs/>
          <w:szCs w:val="22"/>
          <w:shd w:val="clear" w:color="FDFDFD" w:fill="FDFDFD"/>
        </w:rPr>
        <w:fldChar w:fldCharType="end"/>
      </w:r>
      <w:r w:rsidRPr="00B92EF9">
        <w:rPr>
          <w:rFonts w:eastAsia="Arial"/>
          <w:bCs/>
          <w:szCs w:val="22"/>
          <w:shd w:val="clear" w:color="FDFDFD" w:fill="FDFDFD"/>
        </w:rPr>
        <w:t>, the influence of which cannot be decoupled from kinetic</w:t>
      </w:r>
      <w:r w:rsidRPr="00547BB8">
        <w:rPr>
          <w:rFonts w:eastAsia="Arial"/>
          <w:bCs/>
          <w:szCs w:val="22"/>
          <w:shd w:val="clear" w:color="FDFDFD" w:fill="FDFDFD"/>
        </w:rPr>
        <w:t xml:space="preserve"> effects.</w:t>
      </w:r>
    </w:p>
    <w:p w14:paraId="4EB83E75" w14:textId="7A778DEA" w:rsidR="00A20AFF" w:rsidRDefault="00A20AFF" w:rsidP="00A20AFF">
      <w:pPr>
        <w:pStyle w:val="IUCrbodytext"/>
        <w:rPr>
          <w:rFonts w:eastAsia="Arial"/>
          <w:shd w:val="clear" w:color="FDFDFD" w:fill="FDFDFD"/>
        </w:rPr>
      </w:pPr>
      <w:r w:rsidRPr="004742BD">
        <w:rPr>
          <w:rFonts w:eastAsia="Arial"/>
          <w:shd w:val="clear" w:color="FDFDFD" w:fill="FDFDFD"/>
        </w:rPr>
        <w:t>Understanding kinetic effects is important to reconcile discrepancies between static and dynamic phase diagrams</w:t>
      </w:r>
      <w:r>
        <w:rPr>
          <w:rFonts w:eastAsia="Arial"/>
          <w:shd w:val="clear" w:color="FDFDFD" w:fill="FDFDFD"/>
        </w:rPr>
        <w:t xml:space="preserve"> -</w:t>
      </w:r>
      <w:r w:rsidRPr="004742BD">
        <w:rPr>
          <w:rFonts w:eastAsia="Arial"/>
          <w:shd w:val="clear" w:color="FDFDFD" w:fill="FDFDFD"/>
        </w:rPr>
        <w:t xml:space="preserve"> particularly if material properties determined from dynamic compression studies are</w:t>
      </w:r>
      <w:r>
        <w:rPr>
          <w:rFonts w:eastAsia="Arial"/>
          <w:shd w:val="clear" w:color="FDFDFD" w:fill="FDFDFD"/>
        </w:rPr>
        <w:t xml:space="preserve"> </w:t>
      </w:r>
      <w:r w:rsidRPr="004742BD">
        <w:rPr>
          <w:rFonts w:eastAsia="Arial"/>
          <w:shd w:val="clear" w:color="FDFDFD" w:fill="FDFDFD"/>
        </w:rPr>
        <w:t xml:space="preserve">used </w:t>
      </w:r>
      <w:r>
        <w:rPr>
          <w:rFonts w:eastAsia="Arial"/>
          <w:shd w:val="clear" w:color="FDFDFD" w:fill="FDFDFD"/>
        </w:rPr>
        <w:t>to provide constraints on</w:t>
      </w:r>
      <w:r w:rsidRPr="004742BD">
        <w:rPr>
          <w:rFonts w:eastAsia="Arial"/>
          <w:shd w:val="clear" w:color="FDFDFD" w:fill="FDFDFD"/>
        </w:rPr>
        <w:t xml:space="preserve"> planetary</w:t>
      </w:r>
      <w:r>
        <w:rPr>
          <w:rFonts w:eastAsia="Arial"/>
          <w:shd w:val="clear" w:color="FDFDFD" w:fill="FDFDFD"/>
        </w:rPr>
        <w:t xml:space="preserve"> interior models </w:t>
      </w:r>
      <w:r>
        <w:rPr>
          <w:rFonts w:eastAsia="Arial"/>
          <w:shd w:val="clear" w:color="FDFDFD" w:fill="FDFDFD"/>
        </w:rPr>
        <w:fldChar w:fldCharType="begin"/>
      </w:r>
      <w:r w:rsidR="006722F5">
        <w:rPr>
          <w:rFonts w:eastAsia="Arial"/>
          <w:shd w:val="clear" w:color="FDFDFD" w:fill="FDFDFD"/>
        </w:rPr>
        <w:instrText xml:space="preserve"> ADDIN ZOTERO_ITEM CSL_CITATION {"citationID":"KAAa8w8p","properties":{"formattedCitation":"(Kraus {\\i{}et al.}, 2017; Wicks {\\i{}et al.}, 2018; Duffy &amp; Smith, 2019; Coppari {\\i{}et al.}, 2021; Kim {\\i{}et al.}, 2022)","plainCitation":"(Kraus et al., 2017; Wicks et al., 2018; Duffy &amp; Smith, 2019; Coppari et al., 2021; Kim et al., 2022)","noteIndex":0},"citationItems":[{"id":88,"uris":["http://zotero.org/users/local/dwaXvkNj/items/35GI8ZXW"],"uri":["http://zotero.org/users/local/dwaXvkNj/items/35GI8ZXW"],"itemData":{"id":88,"type":"article-journal","title":"Formation of diamonds in laser-compressed hydrocarbons at planetary interior conditions","container-title":"Nature Astronomy","page":"606-611","volume":"1","issue":"9","source":"www.nature.com","abstract":"The effects of hydrocarbon reactions and diamond precipitation on the internal structure and evolution of icy giant planets such as Neptune and Uranus have been discussed for more than three decades1. Inside these celestial bodies, simple hydrocarbons such as methane, which are highly abundant in the atmospheres2, are believed to undergo structural transitions3,4that release hydrogen from deeper layers and may lead to compact stratified cores5–7. Indeed, from the surface towards the core, the isentropes of Uranus and Neptune intersect a temperature–pressure regime in which methane first transforms into a mixture of hydrocarbon polymers8, whereas, in deeper layers, a phase separation into diamond and hydrogen may be possible. Here we show experimental evidence for this phase separation process obtained by in situ X-ray diffraction from polystyrene (C8H8)nsamples dynamically compressed to conditions around 150 GPa and 5,000 K; these conditions resemble the environment around 10,000 km below the surfaces of Neptune and Uranus9. Our findings demonstrate the necessity of high pressures for initiating carbon–hydrogen separation3and imply that diamond precipitation may require pressures about ten times as high as previously indicated by static compression experiments4,8,10. Our results will inform mass–radius relationships of carbon-bearing exoplanets11, provide constraints for their internal layer structure and improve evolutionary models of Uranus and Neptune, in which carbon–hydrogen separation could influence the convective heat transport7.","DOI":"10.1038/s41550-017-0219-9","ISSN":"2397-3366","journalAbbreviation":"Nat. Astron.","language":"en","author":[{"family":"Kraus","given":"D."},{"family":"Vorberger","given":"J."},{"family":"Pak","given":"A."},{"family":"Hartley","given":"N. J."},{"family":"Fletcher","given":"L. B."},{"family":"Frydrych","given":"S."},{"family":"Galtier","given":"E."},{"family":"Gamboa","given":"E. J."},{"family":"Gericke","given":"D. O."},{"family":"Glenzer","given":"S. H."},{"family":"Granados","given":"E."},{"family":"MacDonald","given":"M. J."},{"family":"MacKinnon","given":"A. J."},{"family":"McBride","given":"E. E."},{"family":"Nam","given":"I."},{"family":"Neumayer","given":"P."},{"family":"Roth","given":"M."},{"family":"Saunders","given":"A. M."},{"family":"Schuster","given":"A. K."},{"family":"Sun","given":"P."},{"family":"Driel","given":"T.","non-dropping-particle":"van"},{"family":"Döppner","given":"T."},{"family":"Falcone","given":"R. W."}],"issued":{"date-parts":[["2017",9]]}}},{"id":77,"uris":["http://zotero.org/users/local/dwaXvkNj/items/N4ELMUBG"],"uri":["http://zotero.org/users/local/dwaXvkNj/items/N4ELMUBG"],"itemData":{"id":77,"type":"article-journal","title":"Crystal structure and equation of state of Fe-Si alloys at super-Earth core conditions","container-title":"Science Advances","page":"eaao5864","volume":"4","issue":"4","source":"science.org (Atypon)","abstract":"The high-pressure behavior of Fe alloys governs the interior structure and dynamics of super-Earths, rocky extrasolar planets that could be as much as 10 times more massive than Earth. In experiments reaching up to 1300 GPa, we combine laser-driven dynamic ramp compression with in situ x-ray diffraction to study the effect of composition on the crystal structure and density of Fe-Si alloys, a potential constituent of super-Earth cores. We find that Fe-Si alloy with 7 weight % (wt %) Si adopts the hexagonal close-packed structure over the measured pressure range, whereas Fe-15wt%Si is observed in a body-centered cubic structure. This study represents the first experimental determination of the density and crystal structure of Fe-Si alloys at pressures corresponding to the center of a ~3–Earth mass terrestrial planet. Our results allow for direct determination of the effects of light elements on core radius, density, and pressures for these planets.","DOI":"10.1126/sciadv.aao5864","journalAbbreviation":"Sci. Adv.","author":[{"family":"Wicks","given":"June K."},{"family":"Smith","given":"Raymond F."},{"family":"Fratanduono","given":"Dayne E."},{"family":"Coppari","given":"Federica"},{"family":"Kraus","given":"Richard G."},{"family":"Newman","given":"Matthew G."},{"family":"Rygg","given":"J. Ryan"},{"family":"Eggert","given":"Jon H."},{"family":"Duffy","given":"Thomas S."}],"issued":{"date-parts":[["2018",4,25]]}}},{"id":87,"uris":["http://zotero.org/users/local/dwaXvkNj/items/ALQXF36X"],"uri":["http://zotero.org/users/local/dwaXvkNj/items/ALQXF36X"],"itemData":{"id":87,"type":"article-journal","title":"Ultra-High Pressure Dynamic Compression of Geological Materials","container-title":"Frontiers in Earth Science","volume":"7","source":"Frontiers","abstract":"Dynamic-compression experiments on geological materials are important for understanding the composition and physical state of the deep interior of the Earth and other planets. These experiments also provide insights into impact processes relevant to planetary formation and evolution. Recently, new techniques for dynamic compression using high-powered lasers and pulsed-power systems have been developed. These methods allow for compression on timescales ranging from nanoseconds to microseconds and can often achieve substantially higher pressure than earlier gas-gun-based loading techniques. The capability to produce shockless (i.e., ramp) compression provides access to new regimes of pressure–temperature space and new diagnostics allow for a more detailed understanding of the structure and physical properties of materials under dynamic loading. This review summarizes these recent advances, focusing on results for geological materials at ultra-high pressures above 200 GPa. Implications for the structure and dynamics of planetary interiors are discussed.","URL":"https://www.frontiersin.org/articles/10.3389/feart.2019.00023","ISSN":"2296-6463","journalAbbreviation":"Front. Earth Sci.","author":[{"family":"Duffy","given":"Thomas S."},{"family":"Smith","given":"Raymond F."}],"issued":{"date-parts":[["2019"]]},"accessed":{"date-parts":[["2023",2,13]]}}},{"id":79,"uris":["http://zotero.org/users/local/dwaXvkNj/items/SSIGCWBI"],"uri":["http://zotero.org/users/local/dwaXvkNj/items/SSIGCWBI"],"itemData":{"id":79,"type":"article-journal","title":"Implications of the iron oxide phase transition on the interiors of rocky exoplanets","container-title":"Nature Geoscience","page":"121-126","volume":"14","issue":"3","source":"www.nature.com","abstract":"The discovery of an extraordinary number of extrasolar planets, characterized by an unexpected variety of sizes, masses and orbits, challenges our understanding of the formation and evolution of the planets in the Solar System and the perception of the Earth as the prototypical habitable world. Many exoplanets appear to be rocky and yet more massive than the Earth, with expected pressures and temperatures of hundreds of gigapascal and thousands of Kelvin in their deep interiors. At these conditions, the properties of bridgmanite and ferropericlase, expected to dominate their mantles, are largely unconstrained, limiting our knowledge of their interior structure. Here we used nano-second X-ray diffraction and dynamic compression to experimentally investigate the atomic structure and density of iron oxide (FeO), one of the end-members of the (Mg,Fe)O ferropericlase solid solution, up to 700 GPa, a pressure exceeding the core–mantle boundary of a 5 Earth masses planet. Our data document the stability of the high-pressure cesium-chloride B2 structure above 300 GPa, well below the pressure required for magnesium oxide (MgO) to adopt the same phase. These observations, complemented by the calculation of the binary MgO–FeO phase diagram, reveal complex stratification and rheology inside large terrestrial exoplanets.","DOI":"10.1038/s41561-020-00684-y","ISSN":"1752-0908","journalAbbreviation":"Nat. Geosci.","language":"en","author":[{"family":"Coppari","given":"F."},{"family":"Smith","given":"R. F."},{"family":"Wang","given":"J."},{"family":"Millot","given":"M."},{"family":"Kim","given":"D."},{"family":"Rygg","given":"J. R."},{"family":"Hamel","given":"S."},{"family":"Eggert","given":"J. H."},{"family":"Duffy","given":"T. S."}],"issued":{"date-parts":[["2021",3]]}}},{"id":81,"uris":["http://zotero.org/users/local/dwaXvkNj/items/B9CERZR3"],"uri":["http://zotero.org/users/local/dwaXvkNj/items/B9CERZR3"],"itemData":{"id":81,"type":"article-journal","title":"Structure and density of silicon carbide to 1.5 TPa and implications for extrasolar planets","container-title":"Nature Communications","page":"2260","volume":"13","issue":"1","source":"www.nature.com","abstract":"There has been considerable recent interest in the high-pressure behavior of silicon carbide, a potential major constituent of carbon-rich exoplanets. In this work, the atomic-level structure of SiC was determined through in situ X-ray diffraction under laser-driven ramp compression up to 1.5 TPa; stresses more than seven times greater than previous static and shock data. Here we show that the B1-type structure persists over this stress range and we have constrained its equation of state (EOS). Using this data we have determined the first experimentally based mass-radius curves for a hypothetical pure SiC planet. Interior structure models are constructed for planets consisting of a SiC-rich mantle and iron-rich core. Carbide planets are found to be ~10% less dense than corresponding terrestrial planets.","DOI":"10.1038/s41467-022-29762-y","ISSN":"2041-1723","journalAbbreviation":"Nat. Commun.","language":"en","author":[{"family":"Kim","given":"D."},{"family":"Smith","given":"R. F."},{"family":"Ocampo","given":"I. K."},{"family":"Coppari","given":"F."},{"family":"Marshall","given":"M. C."},{"family":"Ginnane","given":"M. K."},{"family":"Wicks","given":"J. K."},{"family":"Tracy","given":"S. J."},{"family":"Millot","given":"M."},{"family":"Lazicki","given":"A."},{"family":"Rygg","given":"J. R."},{"family":"Eggert","given":"J. H."},{"family":"Duffy","given":"T. S."}],"issued":{"date-parts":[["2022",4,27]]}}}],"schema":"https://github.com/citation-style-language/schema/raw/master/csl-citation.json"} </w:instrText>
      </w:r>
      <w:r>
        <w:rPr>
          <w:rFonts w:eastAsia="Arial"/>
          <w:shd w:val="clear" w:color="FDFDFD" w:fill="FDFDFD"/>
        </w:rPr>
        <w:fldChar w:fldCharType="separate"/>
      </w:r>
      <w:r w:rsidRPr="006C2C42">
        <w:t xml:space="preserve">(Kraus </w:t>
      </w:r>
      <w:r w:rsidRPr="006C2C42">
        <w:rPr>
          <w:i/>
          <w:iCs/>
        </w:rPr>
        <w:t>et al.</w:t>
      </w:r>
      <w:r w:rsidRPr="006C2C42">
        <w:t xml:space="preserve">, 2017; Wicks </w:t>
      </w:r>
      <w:r w:rsidRPr="006C2C42">
        <w:rPr>
          <w:i/>
          <w:iCs/>
        </w:rPr>
        <w:t>et al.</w:t>
      </w:r>
      <w:r w:rsidRPr="006C2C42">
        <w:t xml:space="preserve">, 2018; Duffy &amp; Smith, 2019; Coppari </w:t>
      </w:r>
      <w:r w:rsidRPr="006C2C42">
        <w:rPr>
          <w:i/>
          <w:iCs/>
        </w:rPr>
        <w:t>et al.</w:t>
      </w:r>
      <w:r w:rsidRPr="006C2C42">
        <w:t xml:space="preserve">, 2021; Kim </w:t>
      </w:r>
      <w:r w:rsidRPr="006C2C42">
        <w:rPr>
          <w:i/>
          <w:iCs/>
        </w:rPr>
        <w:t>et al.</w:t>
      </w:r>
      <w:r w:rsidRPr="006C2C42">
        <w:t>, 2022)</w:t>
      </w:r>
      <w:r>
        <w:rPr>
          <w:rFonts w:eastAsia="Arial"/>
          <w:shd w:val="clear" w:color="FDFDFD" w:fill="FDFDFD"/>
        </w:rPr>
        <w:fldChar w:fldCharType="end"/>
      </w:r>
      <w:r>
        <w:rPr>
          <w:rFonts w:eastAsia="Arial"/>
          <w:shd w:val="clear" w:color="FDFDFD" w:fill="FDFDFD"/>
        </w:rPr>
        <w:t xml:space="preserve">. </w:t>
      </w:r>
      <w:r w:rsidRPr="004742BD">
        <w:rPr>
          <w:rFonts w:eastAsia="Arial"/>
          <w:shd w:val="clear" w:color="FDFDFD" w:fill="FDFDFD"/>
        </w:rPr>
        <w:t>However, despite the interest in rate- and timescale-related phenomena, material behaviour at intermediate compression rates</w:t>
      </w:r>
      <w:r>
        <w:rPr>
          <w:rFonts w:eastAsia="Arial"/>
          <w:shd w:val="clear" w:color="FDFDFD" w:fill="FDFDFD"/>
        </w:rPr>
        <w:t xml:space="preserve"> (</w:t>
      </w:r>
      <m:oMath>
        <m:acc>
          <m:accPr>
            <m:chr m:val="̇"/>
            <m:ctrlPr>
              <w:rPr>
                <w:rFonts w:ascii="Cambria Math" w:eastAsia="Arial" w:hAnsi="Cambria Math"/>
                <w:i/>
                <w:szCs w:val="22"/>
                <w:shd w:val="clear" w:color="FDFDFD" w:fill="FDFDFD"/>
              </w:rPr>
            </m:ctrlPr>
          </m:accPr>
          <m:e>
            <m:r>
              <w:rPr>
                <w:rFonts w:ascii="Cambria Math" w:eastAsia="Arial" w:hAnsi="Cambria Math"/>
                <w:szCs w:val="22"/>
                <w:shd w:val="clear" w:color="FDFDFD" w:fill="FDFDFD"/>
              </w:rPr>
              <m:t>ε</m:t>
            </m:r>
          </m:e>
        </m:acc>
      </m:oMath>
      <w:r>
        <w:rPr>
          <w:rFonts w:eastAsia="Arial"/>
          <w:szCs w:val="22"/>
          <w:shd w:val="clear" w:color="FDFDFD" w:fill="FDFDFD"/>
        </w:rPr>
        <w:t xml:space="preserve"> = 10</w:t>
      </w:r>
      <w:r>
        <w:rPr>
          <w:rFonts w:eastAsia="Arial"/>
          <w:szCs w:val="22"/>
          <w:shd w:val="clear" w:color="FDFDFD" w:fill="FDFDFD"/>
          <w:vertAlign w:val="superscript"/>
        </w:rPr>
        <w:t>-3</w:t>
      </w:r>
      <w:r>
        <w:rPr>
          <w:rFonts w:eastAsia="Arial"/>
          <w:szCs w:val="22"/>
          <w:shd w:val="clear" w:color="FDFDFD" w:fill="FDFDFD"/>
        </w:rPr>
        <w:t xml:space="preserve"> – 10</w:t>
      </w:r>
      <w:r>
        <w:rPr>
          <w:rFonts w:eastAsia="Arial"/>
          <w:szCs w:val="22"/>
          <w:shd w:val="clear" w:color="FDFDFD" w:fill="FDFDFD"/>
          <w:vertAlign w:val="superscript"/>
        </w:rPr>
        <w:t>3</w:t>
      </w:r>
      <w:r w:rsidRPr="00B54B14">
        <w:rPr>
          <w:rFonts w:eastAsia="Arial"/>
          <w:szCs w:val="22"/>
          <w:shd w:val="clear" w:color="FDFDFD" w:fill="FDFDFD"/>
        </w:rPr>
        <w:t xml:space="preserve"> </w:t>
      </w:r>
      <w:r>
        <w:rPr>
          <w:rFonts w:eastAsia="Arial"/>
          <w:szCs w:val="22"/>
          <w:shd w:val="clear" w:color="FDFDFD" w:fill="FDFDFD"/>
        </w:rPr>
        <w:t>s</w:t>
      </w:r>
      <w:r w:rsidRPr="00B54B14">
        <w:rPr>
          <w:rFonts w:eastAsia="Arial"/>
          <w:szCs w:val="22"/>
          <w:shd w:val="clear" w:color="FDFDFD" w:fill="FDFDFD"/>
          <w:vertAlign w:val="superscript"/>
        </w:rPr>
        <w:t>-1</w:t>
      </w:r>
      <w:r>
        <w:rPr>
          <w:rFonts w:eastAsia="Arial"/>
          <w:shd w:val="clear" w:color="FDFDFD" w:fill="FDFDFD"/>
        </w:rPr>
        <w:t xml:space="preserve">) </w:t>
      </w:r>
      <w:r w:rsidRPr="004742BD">
        <w:rPr>
          <w:rFonts w:eastAsia="Arial"/>
          <w:shd w:val="clear" w:color="FDFDFD" w:fill="FDFDFD"/>
        </w:rPr>
        <w:t xml:space="preserve">remains relatively unexplored. This regime </w:t>
      </w:r>
      <w:r>
        <w:rPr>
          <w:rFonts w:eastAsia="Arial"/>
          <w:shd w:val="clear" w:color="FDFDFD" w:fill="FDFDFD"/>
        </w:rPr>
        <w:t>is accessible</w:t>
      </w:r>
      <w:r w:rsidRPr="004742BD">
        <w:rPr>
          <w:rFonts w:eastAsia="Arial"/>
          <w:shd w:val="clear" w:color="FDFDFD" w:fill="FDFDFD"/>
        </w:rPr>
        <w:t xml:space="preserve"> using dynamic DAC</w:t>
      </w:r>
      <w:r>
        <w:rPr>
          <w:rFonts w:eastAsia="Arial"/>
          <w:shd w:val="clear" w:color="FDFDFD" w:fill="FDFDFD"/>
        </w:rPr>
        <w:t xml:space="preserve"> drivers</w:t>
      </w:r>
      <w:r w:rsidRPr="004742BD">
        <w:rPr>
          <w:rFonts w:eastAsia="Arial"/>
          <w:shd w:val="clear" w:color="FDFDFD" w:fill="FDFDFD"/>
        </w:rPr>
        <w:t xml:space="preserve"> (</w:t>
      </w:r>
      <w:proofErr w:type="spellStart"/>
      <w:r w:rsidRPr="004742BD">
        <w:rPr>
          <w:rFonts w:eastAsia="Arial"/>
          <w:shd w:val="clear" w:color="FDFDFD" w:fill="FDFDFD"/>
        </w:rPr>
        <w:t>dDACs</w:t>
      </w:r>
      <w:proofErr w:type="spellEnd"/>
      <w:r w:rsidRPr="004742BD">
        <w:rPr>
          <w:rFonts w:eastAsia="Arial"/>
          <w:shd w:val="clear" w:color="FDFDFD" w:fill="FDFDFD"/>
        </w:rPr>
        <w:t xml:space="preserve">) </w:t>
      </w:r>
      <w:r w:rsidRPr="00F608AB">
        <w:rPr>
          <w:rFonts w:eastAsia="Arial"/>
          <w:shd w:val="clear" w:color="FDFDFD" w:fill="FDFDFD"/>
        </w:rPr>
        <w:fldChar w:fldCharType="begin"/>
      </w:r>
      <w:r>
        <w:rPr>
          <w:rFonts w:eastAsia="Arial"/>
          <w:shd w:val="clear" w:color="FDFDFD" w:fill="FDFDFD"/>
        </w:rPr>
        <w:instrText xml:space="preserve"> ADDIN ZOTERO_ITEM CSL_CITATION {"citationID":"Zd5x9mD4","properties":{"formattedCitation":"(Evans {\\i{}et al.}, 2007; Sinogeikin {\\i{}et al.}, 2015; Jenei {\\i{}et al.}, 2019; Yan {\\i{}et al.}, 2022)","plainCitation":"(Evans et al., 2007; Sinogeikin et al., 2015; Jenei et al., 2019; Yan et al., 2022)","noteIndex":0},"citationItems":[{"id":144,"uris":["http://zotero.org/users/local/dwaXvkNj/items/Z495MVC2"],"uri":["http://zotero.org/users/local/dwaXvkNj/items/Z495MVC2"],"itemData":{"id":144,"type":"article-journal","title":"Dynamic diamond anvil cell (dDAC): A novel device for studying the dynamic-pressure properties of materials","container-title":"Review of Scientific Instruments","page":"073904","volume":"78","issue":"7","source":"aip.scitation.org (Atypon)","abstract":"We have developed a unique device, a dynamic diamond anvil cell (dDAC), which repetitively applies a time-dependent load/pressure profile to a sample. This capability allows studies of the kinetics of phase transitions and metastable phases at compression (strain) rates of up to \n500GPa∕s\n500GPa∕s\n (\n</w:instrText>
      </w:r>
      <w:r>
        <w:rPr>
          <w:rFonts w:ascii="Cambria Math" w:eastAsia="Arial" w:hAnsi="Cambria Math" w:cs="Cambria Math"/>
          <w:shd w:val="clear" w:color="FDFDFD" w:fill="FDFDFD"/>
        </w:rPr>
        <w:instrText>∼</w:instrText>
      </w:r>
      <w:r>
        <w:rPr>
          <w:rFonts w:eastAsia="Arial"/>
          <w:shd w:val="clear" w:color="FDFDFD" w:fill="FDFDFD"/>
        </w:rPr>
        <w:instrText>0.16\ns\n−1\n</w:instrText>
      </w:r>
      <w:r>
        <w:rPr>
          <w:rFonts w:ascii="Cambria Math" w:eastAsia="Arial" w:hAnsi="Cambria Math" w:cs="Cambria Math"/>
          <w:shd w:val="clear" w:color="FDFDFD" w:fill="FDFDFD"/>
        </w:rPr>
        <w:instrText>∼</w:instrText>
      </w:r>
      <w:r>
        <w:rPr>
          <w:rFonts w:eastAsia="Arial"/>
          <w:shd w:val="clear" w:color="FDFDFD" w:fill="FDFDFD"/>
        </w:rPr>
        <w:instrText xml:space="preserve">0.16s−1\n for a metal). Our approach adapts electromechanical piezoelectric actuators to a conventional diamond anvil cell design, which enables precise specification and control of a time-dependent applied load/pressure. Existing DAC instrumentation and experimental techniques are easily adapted to the dDAC to measure the properties of a sample under the varying load/pressure conditions. This capability addresses the sparsely studied regime of dynamic phenomena between static research (diamond anvil cells and large volume presses) and dynamic shock-driven experiments (gas guns, explosive, and laser shock). We present an overview of a variety of experimental measurements that can be made with this device.","DOI":"10.1063/1.2751409","ISSN":"0034-6748","shortTitle":"Dynamic diamond anvil cell (dDAC)","journalAbbreviation":"Rev. Sci. Instrum.","author":[{"family":"Evans","given":"William J."},{"family":"Yoo","given":"Choong-Shik"},{"family":"Lee","given":"Geun Woo"},{"family":"Cynn","given":"Hyunchae"},{"family":"Lipp","given":"Magnus J."},{"family":"Visbeck","given":"Ken"}],"issued":{"date-parts":[["2007",7]]}}},{"id":23,"uris":["http://zotero.org/users/local/dwaXvkNj/items/J8DTQTLE"],"uri":["http://zotero.org/users/local/dwaXvkNj/items/J8DTQTLE"],"itemData":{"id":23,"type":"article-journal","title":"Online remote control systems for static and dynamic compression and decompression using diamond anvil cells","container-title":"Review of Scientific Instruments","page":"072209","volume":"86","issue":"7","source":"aip.scitation.org (Atypon)","abstract":"The ability to remotely control pressure in diamond anvil cells (DACs) in accurate and consistent manner at room temperature, as well as at cryogenic and elevated temperatures, is crucial for effective and reliable operation of a high-pressure synchrotron facility such as High Pressure Collaborative Access Team (HPCAT). Over the last several years, a considerable effort has been made to develop instrumentation for remote and automated pressure control in DACs during synchrotron experiments. We have designed and implemented an array of modular pneumatic (double-diaphragm), mechanical (gearboxes), and piezoelectric devices and their combinations for controlling pressure and compression/decompression rate at various temperature conditions from 4 K in cryostats to several thousand Kelvin in laser-heated DACs. Because HPCAT is a user facility and diamond cells for user experiments are typically provided by users, our development effort has been focused on creating different loading mechanisms and frames for a variety of existing and commonly used diamond cells rather than designing specialized or dedicated diamond cells with various drives. In this paper, we review the available instrumentation for remote static and dynamic pressure control in DACs and show some examples of their applications to high pressure research.","DOI":"10.1063/1.4926892","ISSN":"0034-6748","journalAbbreviation":"Rev. Sci. Instrum.","author":[{"family":"Sinogeikin","given":"Stanislav V."},{"family":"Smith","given":"Jesse S."},{"family":"Rod","given":"Eric"},{"family":"Lin","given":"Chuanlong"},{"family":"Kenney-Benson","given":"Curtis"},{"family":"Shen","given":"Guoyin"}],"issued":{"date-parts":[["2015",7]]}}},{"id":157,"uris":["http://zotero.org/users/local/dwaXvkNj/items/W8XCCPNI"],"uri":["http://zotero.org/users/local/dwaXvkNj/items/W8XCCPNI"],"itemData":{"id":157,"type":"article-journal","title":"New dynamic diamond anvil cells for tera-pascal per second fast compression x-ray diffraction experiments","container-title":"Review of Scientific Instruments","page":"065114","volume":"90","issue":"6","source":"aip.scitation.org (Atypon)","abstract":"Fast compression experiments performed using dynamic diamond anvil cells (dDACs) employing piezoactuators offer the opportunity to study compression-rate dependent phenomena. In this paper, we describe an experimental setup which allows us to perform time-resolved x-ray diffraction during the fast compression of materials using improved dDACs. The combination of the high flux available using a 25.6 keV x-ray beam focused with a linear array of compound refractive lenses and the two fast GaAs LAMBDA detectors available at the Extreme Conditions Beamline (P02.2) at PETRA III enables the collection of x-ray diffraction patterns at an effective repetition rate of up to 4 kHz. Compression rates of up to 160 TPa/s have been achieved during the compression of gold in a 2.5 ms fast compression using improved dDAC configurations with more powerful piezoactuators. The application of this setup to low-Z compounds at lower compression rates is described, and the high temporal resolution of the setup is demonstrated. The possibility of applying finely tuned pressure profiles opens opportunities for future research, such as using oscillations of the piezoactuator to mimic propagation of seismic waves in the Earth.","DOI":"10.1063/1.5098993","ISSN":"0034-6748","journalAbbreviation":"Rev. Sci. Instrum.","author":[{"family":"Jenei","given":"Zs."},{"family":"Liermann","given":"H. P."},{"family":"Husband","given":"R."},{"family":"Méndez","given":"A. S. J."},{"family":"Pennicard","given":"D."},{"family":"Marquardt","given":"H."},{"family":"O’Bannon","given":"E. F."},{"family":"Pakhomova","given":"A."},{"family":"Konopkova","given":"Z."},{"family":"Glazyrin","given":"K."},{"family":"Wendt","given":"M."},{"family":"Wenz","given":"S."},{"family":"McBride","given":"E. E."},{"family":"Morgenroth","given":"W."},{"family":"Winkler","given":"B."},{"family":"Rothkirch","given":"A."},{"family":"Hanfland","given":"M."},{"family":"Evans","given":"W. J."}],"issued":{"date-parts":[["2019",6]]}}},{"id":21,"uris":["http://zotero.org/users/local/dwaXvkNj/items/P2ATQIGZ"],"uri":["http://zotero.org/users/local/dwaXvkNj/items/P2ATQIGZ"],"itemData":{"id":21,"type":"article-journal","title":"Compression rate of dynamic diamond anvil cells from room temperature to 10 K","container-title":"Review of Scientific Instruments","page":"063901","volume":"93","issue":"6","source":"aip.scitation.org (Atypon)","abstract":"There is an ever increasing interest in studying dynamic-pressure dependent phenomena utilizing dynamic Diamond Anvil Cells (dDACs), devices capable of a highly controlled rate of compression. Here, we characterize and compare the compression rate of dDACs in which the compression is actuated via three different methods: (1) stepper motor (S-dDAC), (2) gas membrane (M-dDAC), and (3) piezoactuator (P-dDAC). The compression rates of these different types of dDAC were determined solely on millisecond time-resolved R1-line fluorescence of a ruby sphere located within the sample chamber. Furthermore, these different dynamic compression-techniques have been described and characterized over a broad temperature and pressure range from 10 to 300 K and 0–50 GPa. At room temperature, piezoactuation (P-dDAC) has a clear advantage in controlled extremely fast compression, having recorded a compression rate of </w:instrText>
      </w:r>
      <w:r>
        <w:rPr>
          <w:rFonts w:ascii="Cambria Math" w:eastAsia="Arial" w:hAnsi="Cambria Math" w:cs="Cambria Math"/>
          <w:shd w:val="clear" w:color="FDFDFD" w:fill="FDFDFD"/>
        </w:rPr>
        <w:instrText>∼</w:instrText>
      </w:r>
      <w:r>
        <w:rPr>
          <w:rFonts w:eastAsia="Arial"/>
          <w:shd w:val="clear" w:color="FDFDFD" w:fill="FDFDFD"/>
        </w:rPr>
        <w:instrText xml:space="preserve">7 TPa/s, which is also found to be primarily influenced by the charging time of the piezostack. At 40–250 K, gas membranes (M-dDAC) have also been found to generate rapid compression of </w:instrText>
      </w:r>
      <w:r>
        <w:rPr>
          <w:rFonts w:ascii="Cambria Math" w:eastAsia="Arial" w:hAnsi="Cambria Math" w:cs="Cambria Math"/>
          <w:shd w:val="clear" w:color="FDFDFD" w:fill="FDFDFD"/>
        </w:rPr>
        <w:instrText>∼</w:instrText>
      </w:r>
      <w:r>
        <w:rPr>
          <w:rFonts w:eastAsia="Arial"/>
          <w:shd w:val="clear" w:color="FDFDFD" w:fill="FDFDFD"/>
        </w:rPr>
        <w:instrText xml:space="preserve">0.5–3 TPa/s and are readily interfaced with moderate cryogenic and ultrahigh vacuum conditions. Approaching more extreme cryogenic conditions (&lt;10 K), a stepper motor driven lever arm (S-dDAC) offers a solution for high-precision moderate compression rates in a regime where P-dDACs and M-dDACs can become difficult to incorporate. The results of this paper demonstrate the applicability of different dynamic compression techniques, and when applied, they can offer us new insights into matter’s response to strain, which is highly relevant to physics, geoscience, and chemistry.","DOI":"10.1063/5.0091102","ISSN":"0034-6748","journalAbbreviation":"J. Sci. Instrum.","author":[{"family":"Yan","given":"Jinwei"},{"family":"Liu","given":"Xiaodi"},{"family":"Gorelli","given":"Federico Aiace"},{"family":"Xu","given":"Haian"},{"family":"Zhang","given":"Huichao"},{"family":"Hu","given":"Huixin"},{"family":"Gregoryanz","given":"Eugene"},{"family":"Dalladay-Simpson","given":"Philip"}],"issued":{"date-parts":[["2022",6]]}}}],"schema":"https://github.com/citation-style-language/schema/raw/master/csl-citation.json"} </w:instrText>
      </w:r>
      <w:r w:rsidRPr="00F608AB">
        <w:rPr>
          <w:rFonts w:eastAsia="Arial"/>
          <w:shd w:val="clear" w:color="FDFDFD" w:fill="FDFDFD"/>
        </w:rPr>
        <w:fldChar w:fldCharType="separate"/>
      </w:r>
      <w:r w:rsidRPr="00993CF3">
        <w:t xml:space="preserve">(Evans </w:t>
      </w:r>
      <w:r w:rsidRPr="00993CF3">
        <w:rPr>
          <w:i/>
          <w:iCs/>
        </w:rPr>
        <w:t>et al.</w:t>
      </w:r>
      <w:r w:rsidRPr="00993CF3">
        <w:t xml:space="preserve">, 2007; Sinogeikin </w:t>
      </w:r>
      <w:r w:rsidRPr="00993CF3">
        <w:rPr>
          <w:i/>
          <w:iCs/>
        </w:rPr>
        <w:t>et al.</w:t>
      </w:r>
      <w:r w:rsidRPr="00993CF3">
        <w:t xml:space="preserve">, 2015; Jenei </w:t>
      </w:r>
      <w:r w:rsidRPr="00993CF3">
        <w:rPr>
          <w:i/>
          <w:iCs/>
        </w:rPr>
        <w:t>et al.</w:t>
      </w:r>
      <w:r w:rsidRPr="00993CF3">
        <w:t xml:space="preserve">, 2019; Yan </w:t>
      </w:r>
      <w:r w:rsidRPr="00993CF3">
        <w:rPr>
          <w:i/>
          <w:iCs/>
        </w:rPr>
        <w:t>et al.</w:t>
      </w:r>
      <w:r w:rsidRPr="00993CF3">
        <w:t>, 2022)</w:t>
      </w:r>
      <w:r w:rsidRPr="00F608AB">
        <w:rPr>
          <w:rFonts w:eastAsia="Arial"/>
          <w:shd w:val="clear" w:color="FDFDFD" w:fill="FDFDFD"/>
        </w:rPr>
        <w:fldChar w:fldCharType="end"/>
      </w:r>
      <w:r w:rsidRPr="0093445B">
        <w:rPr>
          <w:rFonts w:eastAsia="Arial"/>
          <w:shd w:val="clear" w:color="FDFDFD" w:fill="FDFDFD"/>
        </w:rPr>
        <w:t xml:space="preserve">, </w:t>
      </w:r>
      <w:r>
        <w:rPr>
          <w:rFonts w:eastAsia="Arial"/>
          <w:shd w:val="clear" w:color="FDFDFD" w:fill="FDFDFD"/>
        </w:rPr>
        <w:t>which utilize piezoelectric actuators to compress samples in timescales ranging from milliseconds to several minutes.</w:t>
      </w:r>
      <w:r w:rsidRPr="00F65C0A">
        <w:rPr>
          <w:rFonts w:eastAsia="Arial"/>
          <w:shd w:val="clear" w:color="FDFDFD" w:fill="FDFDFD"/>
        </w:rPr>
        <w:t xml:space="preserve"> </w:t>
      </w:r>
      <w:r>
        <w:rPr>
          <w:rFonts w:eastAsia="Arial"/>
          <w:shd w:val="clear" w:color="FDFDFD" w:fill="FDFDFD"/>
        </w:rPr>
        <w:t xml:space="preserve">The maximum achievable strain rate is determined by the minimum compression timescale (i.e. piezo rise time) and largest accessible pressure range (i.e. force generation), where the latest generation of </w:t>
      </w:r>
      <w:proofErr w:type="spellStart"/>
      <w:r>
        <w:rPr>
          <w:rFonts w:eastAsia="Arial"/>
          <w:shd w:val="clear" w:color="FDFDFD" w:fill="FDFDFD"/>
        </w:rPr>
        <w:t>dDAC</w:t>
      </w:r>
      <w:proofErr w:type="spellEnd"/>
      <w:r>
        <w:rPr>
          <w:rFonts w:eastAsia="Arial"/>
          <w:shd w:val="clear" w:color="FDFDFD" w:fill="FDFDFD"/>
        </w:rPr>
        <w:t xml:space="preserve"> drivers can compress samples to the upper pressure limit of the </w:t>
      </w:r>
      <w:r w:rsidRPr="004742BD">
        <w:rPr>
          <w:rFonts w:eastAsia="Arial"/>
          <w:shd w:val="clear" w:color="FDFDFD" w:fill="FDFDFD"/>
        </w:rPr>
        <w:t xml:space="preserve">diamond </w:t>
      </w:r>
      <w:r>
        <w:rPr>
          <w:rFonts w:eastAsia="Arial"/>
          <w:shd w:val="clear" w:color="FDFDFD" w:fill="FDFDFD"/>
        </w:rPr>
        <w:t>anvils</w:t>
      </w:r>
      <w:r w:rsidRPr="004742BD">
        <w:rPr>
          <w:rFonts w:eastAsia="Arial"/>
          <w:shd w:val="clear" w:color="FDFDFD" w:fill="FDFDFD"/>
        </w:rPr>
        <w:t xml:space="preserve"> </w:t>
      </w:r>
      <w:r>
        <w:rPr>
          <w:rFonts w:eastAsia="Arial"/>
          <w:shd w:val="clear" w:color="FDFDFD" w:fill="FDFDFD"/>
        </w:rPr>
        <w:t xml:space="preserve">in ~1 </w:t>
      </w:r>
      <w:proofErr w:type="spellStart"/>
      <w:r>
        <w:rPr>
          <w:rFonts w:eastAsia="Arial"/>
          <w:shd w:val="clear" w:color="FDFDFD" w:fill="FDFDFD"/>
        </w:rPr>
        <w:t>ms</w:t>
      </w:r>
      <w:proofErr w:type="spellEnd"/>
      <w:r>
        <w:rPr>
          <w:rFonts w:eastAsia="Arial"/>
          <w:shd w:val="clear" w:color="FDFDFD" w:fill="FDFDFD"/>
        </w:rPr>
        <w:t>. For example, strain rates</w:t>
      </w:r>
      <w:r w:rsidRPr="004742BD">
        <w:rPr>
          <w:rFonts w:eastAsia="Arial"/>
          <w:shd w:val="clear" w:color="FDFDFD" w:fill="FDFDFD"/>
        </w:rPr>
        <w:t xml:space="preserve"> up to</w:t>
      </w:r>
      <w:r>
        <w:rPr>
          <w:rFonts w:eastAsia="Arial"/>
          <w:shd w:val="clear" w:color="FDFDFD" w:fill="FDFDFD"/>
        </w:rPr>
        <w:t xml:space="preserve"> 500 </w:t>
      </w:r>
      <w:r>
        <w:rPr>
          <w:rFonts w:eastAsia="Arial"/>
          <w:szCs w:val="22"/>
          <w:shd w:val="clear" w:color="FDFDFD" w:fill="FDFDFD"/>
        </w:rPr>
        <w:t>s</w:t>
      </w:r>
      <w:r w:rsidRPr="00B54B14">
        <w:rPr>
          <w:rFonts w:eastAsia="Arial"/>
          <w:szCs w:val="22"/>
          <w:shd w:val="clear" w:color="FDFDFD" w:fill="FDFDFD"/>
          <w:vertAlign w:val="superscript"/>
        </w:rPr>
        <w:t>-1</w:t>
      </w:r>
      <w:r>
        <w:rPr>
          <w:rFonts w:eastAsia="Arial"/>
          <w:szCs w:val="22"/>
          <w:shd w:val="clear" w:color="FDFDFD" w:fill="FDFDFD"/>
          <w:vertAlign w:val="superscript"/>
        </w:rPr>
        <w:t xml:space="preserve"> </w:t>
      </w:r>
      <w:r>
        <w:rPr>
          <w:rFonts w:eastAsia="Arial"/>
          <w:shd w:val="clear" w:color="FDFDFD" w:fill="FDFDFD"/>
        </w:rPr>
        <w:t>were generated during the fast compression of Au in 2.5 </w:t>
      </w:r>
      <w:proofErr w:type="spellStart"/>
      <w:r>
        <w:rPr>
          <w:rFonts w:eastAsia="Arial"/>
          <w:shd w:val="clear" w:color="FDFDFD" w:fill="FDFDFD"/>
        </w:rPr>
        <w:t>ms</w:t>
      </w:r>
      <w:proofErr w:type="spellEnd"/>
      <w:r>
        <w:rPr>
          <w:rFonts w:eastAsia="Arial"/>
          <w:shd w:val="clear" w:color="FDFDFD" w:fill="FDFDFD"/>
        </w:rPr>
        <w:t xml:space="preserve">, which corresponds to the maximum compression rate (160 </w:t>
      </w:r>
      <w:proofErr w:type="spellStart"/>
      <w:r>
        <w:rPr>
          <w:rFonts w:eastAsia="Arial"/>
          <w:shd w:val="clear" w:color="FDFDFD" w:fill="FDFDFD"/>
        </w:rPr>
        <w:t>TPa</w:t>
      </w:r>
      <w:proofErr w:type="spellEnd"/>
      <w:r>
        <w:rPr>
          <w:rFonts w:eastAsia="Arial"/>
          <w:shd w:val="clear" w:color="FDFDFD" w:fill="FDFDFD"/>
        </w:rPr>
        <w:t xml:space="preserve">/s) reported to-date </w:t>
      </w:r>
      <w:r w:rsidRPr="00F608AB">
        <w:rPr>
          <w:rFonts w:eastAsia="Arial"/>
          <w:shd w:val="clear" w:color="FDFDFD" w:fill="FDFDFD"/>
        </w:rPr>
        <w:fldChar w:fldCharType="begin"/>
      </w:r>
      <w:r>
        <w:rPr>
          <w:rFonts w:eastAsia="Arial"/>
          <w:shd w:val="clear" w:color="FDFDFD" w:fill="FDFDFD"/>
        </w:rPr>
        <w:instrText xml:space="preserve"> ADDIN ZOTERO_ITEM CSL_CITATION {"citationID":"HMfQzhhK","properties":{"formattedCitation":"(Jenei {\\i{}et al.}, 2019)","plainCitation":"(Jenei et al., 2019)","noteIndex":0},"citationItems":[{"id":157,"uris":["http://zotero.org/users/local/dwaXvkNj/items/W8XCCPNI"],"uri":["http://zotero.org/users/local/dwaXvkNj/items/W8XCCPNI"],"itemData":{"id":157,"type":"article-journal","title":"New dynamic diamond anvil cells for tera-pascal per second fast compression x-ray diffraction experiments","container-title":"Review of Scientific Instruments","page":"065114","volume":"90","issue":"6","source":"aip.scitation.org (Atypon)","abstract":"Fast compression experiments performed using dynamic diamond anvil cells (dDACs) employing piezoactuators offer the opportunity to study compression-rate dependent phenomena. In this paper, we describe an experimental setup which allows us to perform time-resolved x-ray diffraction during the fast compression of materials using improved dDACs. The combination of the high flux available using a 25.6 keV x-ray beam focused with a linear array of compound refractive lenses and the two fast GaAs LAMBDA detectors available at the Extreme Conditions Beamline (P02.2) at PETRA III enables the collection of x-ray diffraction patterns at an effective repetition rate of up to 4 kHz. Compression rates of up to 160 TPa/s have been achieved during the compression of gold in a 2.5 ms fast compression using improved dDAC configurations with more powerful piezoactuators. The application of this setup to low-Z compounds at lower compression rates is described, and the high temporal resolution of the setup is demonstrated. The possibility of applying finely tuned pressure profiles opens opportunities for future research, such as using oscillations of the piezoactuator to mimic propagation of seismic waves in the Earth.","DOI":"10.1063/1.5098993","ISSN":"0034-6748","journalAbbreviation":"Rev. Sci. Instrum.","author":[{"family":"Jenei","given":"Zs."},{"family":"Liermann","given":"H. P."},{"family":"Husband","given":"R."},{"family":"Méndez","given":"A. S. J."},{"family":"Pennicard","given":"D."},{"family":"Marquardt","given":"H."},{"family":"O’Bannon","given":"E. F."},{"family":"Pakhomova","given":"A."},{"family":"Konopkova","given":"Z."},{"family":"Glazyrin","given":"K."},{"family":"Wendt","given":"M."},{"family":"Wenz","given":"S."},{"family":"McBride","given":"E. E."},{"family":"Morgenroth","given":"W."},{"family":"Winkler","given":"B."},{"family":"Rothkirch","given":"A."},{"family":"Hanfland","given":"M."},{"family":"Evans","given":"W. J."}],"issued":{"date-parts":[["2019",6]]}}}],"schema":"https://github.com/citation-style-language/schema/raw/master/csl-citation.json"} </w:instrText>
      </w:r>
      <w:r w:rsidRPr="00F608AB">
        <w:rPr>
          <w:rFonts w:eastAsia="Arial"/>
          <w:shd w:val="clear" w:color="FDFDFD" w:fill="FDFDFD"/>
        </w:rPr>
        <w:fldChar w:fldCharType="separate"/>
      </w:r>
      <w:r w:rsidRPr="00993CF3">
        <w:t xml:space="preserve">(Jenei </w:t>
      </w:r>
      <w:r w:rsidRPr="00993CF3">
        <w:rPr>
          <w:i/>
          <w:iCs/>
        </w:rPr>
        <w:t>et al.</w:t>
      </w:r>
      <w:r w:rsidRPr="00993CF3">
        <w:t>, 2019)</w:t>
      </w:r>
      <w:r w:rsidRPr="00F608AB">
        <w:rPr>
          <w:rFonts w:eastAsia="Arial"/>
          <w:shd w:val="clear" w:color="FDFDFD" w:fill="FDFDFD"/>
        </w:rPr>
        <w:fldChar w:fldCharType="end"/>
      </w:r>
      <w:r w:rsidRPr="00F65C0A">
        <w:rPr>
          <w:rFonts w:eastAsia="Arial"/>
          <w:shd w:val="clear" w:color="FDFDFD" w:fill="FDFDFD"/>
        </w:rPr>
        <w:t>.</w:t>
      </w:r>
      <w:r>
        <w:rPr>
          <w:rFonts w:eastAsia="Arial"/>
          <w:shd w:val="clear" w:color="FDFDFD" w:fill="FDFDFD"/>
        </w:rPr>
        <w:t xml:space="preserve"> </w:t>
      </w:r>
      <w:bookmarkStart w:id="5" w:name="_Hlk127299649"/>
      <w:bookmarkStart w:id="6" w:name="_Hlk127351382"/>
      <w:r>
        <w:rPr>
          <w:rFonts w:eastAsia="Arial"/>
          <w:shd w:val="clear" w:color="FDFDFD" w:fill="FDFDFD"/>
        </w:rPr>
        <w:t xml:space="preserve">The </w:t>
      </w:r>
      <w:proofErr w:type="spellStart"/>
      <w:r>
        <w:rPr>
          <w:rFonts w:eastAsia="Arial"/>
          <w:shd w:val="clear" w:color="FDFDFD" w:fill="FDFDFD"/>
        </w:rPr>
        <w:t>dDAC</w:t>
      </w:r>
      <w:proofErr w:type="spellEnd"/>
      <w:r>
        <w:rPr>
          <w:rFonts w:eastAsia="Arial"/>
          <w:shd w:val="clear" w:color="FDFDFD" w:fill="FDFDFD"/>
        </w:rPr>
        <w:t xml:space="preserve"> also offers the additional advantage in that compression can either be performed hydrostatically through the use of a pressure-transmitting medium (PTM), or non-hydrostatically (without a PTM); the influence of the strain rate and stress state can therefore be decoupled.  </w:t>
      </w:r>
    </w:p>
    <w:p w14:paraId="0D40FF59" w14:textId="00D5D29A" w:rsidR="00A20AFF" w:rsidRPr="009B176E" w:rsidRDefault="00A20AFF" w:rsidP="00A20AFF">
      <w:pPr>
        <w:pStyle w:val="IUCrbodytext"/>
        <w:rPr>
          <w:rFonts w:eastAsia="Arial"/>
          <w:shd w:val="clear" w:color="FDFDFD" w:fill="FDFDFD"/>
        </w:rPr>
      </w:pPr>
      <w:r>
        <w:rPr>
          <w:rFonts w:eastAsia="Arial"/>
          <w:shd w:val="clear" w:color="FDFDFD" w:fill="FDFDFD"/>
        </w:rPr>
        <w:t>Un</w:t>
      </w:r>
      <w:r w:rsidRPr="004742BD">
        <w:rPr>
          <w:rFonts w:eastAsia="Arial"/>
          <w:shd w:val="clear" w:color="FDFDFD" w:fill="FDFDFD"/>
        </w:rPr>
        <w:t xml:space="preserve">like conventional dynamic compression platforms </w:t>
      </w:r>
      <w:r>
        <w:rPr>
          <w:rFonts w:eastAsia="Arial"/>
          <w:shd w:val="clear" w:color="FDFDFD" w:fill="FDFDFD"/>
        </w:rPr>
        <w:t xml:space="preserve">where </w:t>
      </w:r>
      <w:r w:rsidRPr="004742BD">
        <w:rPr>
          <w:rFonts w:eastAsia="Arial"/>
          <w:shd w:val="clear" w:color="FDFDFD" w:fill="FDFDFD"/>
        </w:rPr>
        <w:t xml:space="preserve">compression is </w:t>
      </w:r>
      <w:r>
        <w:rPr>
          <w:rFonts w:eastAsia="Arial"/>
          <w:shd w:val="clear" w:color="FDFDFD" w:fill="FDFDFD"/>
        </w:rPr>
        <w:t>inherently</w:t>
      </w:r>
      <w:r w:rsidRPr="004742BD">
        <w:rPr>
          <w:rFonts w:eastAsia="Arial"/>
          <w:shd w:val="clear" w:color="FDFDFD" w:fill="FDFDFD"/>
        </w:rPr>
        <w:t xml:space="preserve"> accompanied by high temperature generation,</w:t>
      </w:r>
      <w:bookmarkStart w:id="7" w:name="_Hlk127299688"/>
      <w:bookmarkEnd w:id="5"/>
      <w:r>
        <w:rPr>
          <w:rFonts w:eastAsia="Arial"/>
          <w:shd w:val="clear" w:color="FDFDFD" w:fill="FDFDFD"/>
        </w:rPr>
        <w:t xml:space="preserve"> </w:t>
      </w:r>
      <w:proofErr w:type="spellStart"/>
      <w:r>
        <w:rPr>
          <w:rFonts w:eastAsia="Arial"/>
          <w:shd w:val="clear" w:color="FDFDFD" w:fill="FDFDFD"/>
        </w:rPr>
        <w:t>dDAC</w:t>
      </w:r>
      <w:proofErr w:type="spellEnd"/>
      <w:r>
        <w:rPr>
          <w:rFonts w:eastAsia="Arial"/>
          <w:shd w:val="clear" w:color="FDFDFD" w:fill="FDFDFD"/>
        </w:rPr>
        <w:t xml:space="preserve"> compression does not necessarily lead to an increase in the sample temperature. </w:t>
      </w:r>
      <w:bookmarkEnd w:id="6"/>
      <w:bookmarkEnd w:id="7"/>
      <w:r>
        <w:rPr>
          <w:rFonts w:eastAsia="Arial"/>
          <w:shd w:val="clear" w:color="FDFDFD" w:fill="FDFDFD"/>
        </w:rPr>
        <w:t xml:space="preserve">The ability to compress along an isotherm means that </w:t>
      </w:r>
      <w:proofErr w:type="spellStart"/>
      <w:r>
        <w:rPr>
          <w:rFonts w:eastAsia="Arial"/>
          <w:shd w:val="clear" w:color="FDFDFD" w:fill="FDFDFD"/>
        </w:rPr>
        <w:t>dDAC</w:t>
      </w:r>
      <w:proofErr w:type="spellEnd"/>
      <w:r>
        <w:rPr>
          <w:rFonts w:eastAsia="Arial"/>
          <w:shd w:val="clear" w:color="FDFDFD" w:fill="FDFDFD"/>
        </w:rPr>
        <w:t xml:space="preserve"> experiments enable the exploration of well-defined regions of pressure-temperature </w:t>
      </w:r>
      <w:r w:rsidRPr="00F322C2">
        <w:rPr>
          <w:rFonts w:eastAsia="Arial"/>
          <w:i/>
          <w:shd w:val="clear" w:color="FDFDFD" w:fill="FDFDFD"/>
        </w:rPr>
        <w:t>(</w:t>
      </w:r>
      <w:r w:rsidRPr="009B176E">
        <w:rPr>
          <w:rFonts w:eastAsia="Arial"/>
          <w:i/>
          <w:shd w:val="clear" w:color="FDFDFD" w:fill="FDFDFD"/>
        </w:rPr>
        <w:t>P-T</w:t>
      </w:r>
      <w:r w:rsidRPr="00F322C2">
        <w:rPr>
          <w:rFonts w:eastAsia="Arial"/>
          <w:shd w:val="clear" w:color="FDFDFD" w:fill="FDFDFD"/>
        </w:rPr>
        <w:t>)</w:t>
      </w:r>
      <w:r>
        <w:rPr>
          <w:rFonts w:eastAsia="Arial"/>
          <w:shd w:val="clear" w:color="FDFDFD" w:fill="FDFDFD"/>
        </w:rPr>
        <w:t xml:space="preserve"> space which are inaccessible using shock or ramp compression </w:t>
      </w:r>
      <w:r w:rsidRPr="003B5275">
        <w:rPr>
          <w:rFonts w:eastAsia="Arial"/>
          <w:szCs w:val="22"/>
          <w:shd w:val="clear" w:color="FDFDFD" w:fill="FDFDFD"/>
        </w:rPr>
        <w:t>techniques</w:t>
      </w:r>
      <w:r>
        <w:rPr>
          <w:rFonts w:eastAsia="Arial"/>
          <w:szCs w:val="22"/>
          <w:shd w:val="clear" w:color="FDFDFD" w:fill="FDFDFD"/>
        </w:rPr>
        <w:t>, making it suitable for equation of state (</w:t>
      </w:r>
      <w:proofErr w:type="spellStart"/>
      <w:r>
        <w:rPr>
          <w:rFonts w:eastAsia="Arial"/>
          <w:szCs w:val="22"/>
          <w:shd w:val="clear" w:color="FDFDFD" w:fill="FDFDFD"/>
        </w:rPr>
        <w:t>EoS</w:t>
      </w:r>
      <w:proofErr w:type="spellEnd"/>
      <w:r>
        <w:rPr>
          <w:rFonts w:eastAsia="Arial"/>
          <w:szCs w:val="22"/>
          <w:shd w:val="clear" w:color="FDFDFD" w:fill="FDFDFD"/>
        </w:rPr>
        <w:t xml:space="preserve">) measurements in which the </w:t>
      </w:r>
      <w:r w:rsidRPr="009B176E">
        <w:rPr>
          <w:rFonts w:eastAsia="Arial"/>
          <w:i/>
          <w:szCs w:val="22"/>
          <w:shd w:val="clear" w:color="FDFDFD" w:fill="FDFDFD"/>
        </w:rPr>
        <w:t>P-T</w:t>
      </w:r>
      <w:r>
        <w:rPr>
          <w:rFonts w:eastAsia="Arial"/>
          <w:szCs w:val="22"/>
          <w:shd w:val="clear" w:color="FDFDFD" w:fill="FDFDFD"/>
        </w:rPr>
        <w:t xml:space="preserve"> path must be well known.</w:t>
      </w:r>
      <w:r w:rsidRPr="003B5275">
        <w:rPr>
          <w:rFonts w:eastAsia="Arial"/>
          <w:szCs w:val="22"/>
          <w:shd w:val="clear" w:color="FDFDFD" w:fill="FDFDFD"/>
        </w:rPr>
        <w:t xml:space="preserve"> </w:t>
      </w:r>
      <w:r>
        <w:rPr>
          <w:rFonts w:eastAsia="Arial"/>
          <w:szCs w:val="22"/>
          <w:shd w:val="clear" w:color="FDFDFD" w:fill="FDFDFD"/>
        </w:rPr>
        <w:t>A</w:t>
      </w:r>
      <w:r w:rsidRPr="003B5275">
        <w:rPr>
          <w:rFonts w:eastAsia="Arial"/>
          <w:szCs w:val="22"/>
          <w:shd w:val="clear" w:color="FDFDFD" w:fill="FDFDFD"/>
        </w:rPr>
        <w:t xml:space="preserve">lthough the temperatures generated in shockless </w:t>
      </w:r>
      <w:r w:rsidRPr="00AF75FB">
        <w:rPr>
          <w:rFonts w:eastAsia="Arial"/>
          <w:szCs w:val="22"/>
          <w:shd w:val="clear" w:color="FDFDFD" w:fill="FDFDFD"/>
        </w:rPr>
        <w:t>ramp compression</w:t>
      </w:r>
      <w:r>
        <w:rPr>
          <w:rFonts w:eastAsia="Arial"/>
          <w:szCs w:val="22"/>
          <w:shd w:val="clear" w:color="FDFDFD" w:fill="FDFDFD"/>
        </w:rPr>
        <w:t xml:space="preserve"> (i.e. quasi-isentropic)</w:t>
      </w:r>
      <w:r w:rsidRPr="00AF75FB">
        <w:rPr>
          <w:rFonts w:eastAsia="Arial"/>
          <w:szCs w:val="22"/>
          <w:shd w:val="clear" w:color="FDFDFD" w:fill="FDFDFD"/>
        </w:rPr>
        <w:t xml:space="preserve"> are low enough for </w:t>
      </w:r>
      <w:r w:rsidRPr="00EF048A">
        <w:rPr>
          <w:rFonts w:eastAsia="Arial"/>
          <w:szCs w:val="22"/>
          <w:shd w:val="clear" w:color="FDFDFD" w:fill="FDFDFD"/>
        </w:rPr>
        <w:t xml:space="preserve">solid phases to be studied </w:t>
      </w:r>
      <w:r w:rsidRPr="00902A1F">
        <w:rPr>
          <w:rFonts w:eastAsia="Arial"/>
          <w:szCs w:val="22"/>
          <w:shd w:val="clear" w:color="FDFDFD" w:fill="FDFDFD"/>
        </w:rPr>
        <w:t>beyond 1TPa</w:t>
      </w:r>
      <w:r>
        <w:rPr>
          <w:rFonts w:eastAsia="Arial"/>
          <w:szCs w:val="22"/>
          <w:shd w:val="clear" w:color="FDFDFD" w:fill="FDFDFD"/>
        </w:rPr>
        <w:t xml:space="preserve"> </w:t>
      </w:r>
      <w:r>
        <w:rPr>
          <w:rFonts w:eastAsia="Arial"/>
          <w:szCs w:val="22"/>
          <w:shd w:val="clear" w:color="FDFDFD" w:fill="FDFDFD"/>
        </w:rPr>
        <w:fldChar w:fldCharType="begin"/>
      </w:r>
      <w:r w:rsidR="00A91B09">
        <w:rPr>
          <w:rFonts w:eastAsia="Arial"/>
          <w:szCs w:val="22"/>
          <w:shd w:val="clear" w:color="FDFDFD" w:fill="FDFDFD"/>
        </w:rPr>
        <w:instrText xml:space="preserve"> ADDIN ZOTERO_ITEM CSL_CITATION {"citationID":"ZYbeQW76","properties":{"formattedCitation":"(Fratanduono {\\i{}et al.}, 2020, 2021; Gorman {\\i{}et al.}, 2023)","plainCitation":"(Fratanduono et al., 2020, 2021; Gorman et al., 2023)","noteIndex":0},"citationItems":[{"id":95,"uris":["http://zotero.org/users/local/dwaXvkNj/items/92KYSQWV"],"uri":["http://zotero.org/users/local/dwaXvkNj/items/92KYSQWV"],"itemData":{"id":95,"type":"article-journal","title":"Probing the Solid Phase of Noble Metal Copper at Terapascal Conditions","container-title":"Physical Review Letters","page":"015701","volume":"124","issue":"1","source":"APS","abstract":"Ramp compression along a low-temperature adiabat offers a unique avenue to explore the physical properties of materials at the highest densities of their solid form, a region inaccessible by single shock compression. Using the National Ignition Facility and OMEGA laser facilities, copper samples were ramp compressed to peak pressures of 2.30 TPa and densities of nearly 30 g/cc, providing fundamental information regarding the compressibility and phase of copper at pressures more than 5 times greater than previously explored. Through x-ray diffraction measurements, we find that the ambient face-centered-cubic structure is preserved up to 1.15 TPa. The ramp compression equation-of-state measurements shows that there are no discontinuities in sound velocities up to 2.30 TPa, suggesting this phase is likely stable up to the peak pressures measured, as predicted by first-principal calculations. The high precision of these quasiabsolute measurements enables us to provide essential benchmarks for advanced computational studies on the behavior of dense monoatomic materials under extreme conditions that constitute a stringent test for solid-state quantum theory. We find that both density-functional theory and the stabilized jellium model, which assumes that the ionic structure can be replaced by an ionic charge distribution by constant positive-charge background, reproduces our data well. Further, our data could serve to establish new international secondary scales of pressure in the terapascal range that is becoming experimentally accessible with advanced static and dynamic compression techniques.","DOI":"10.1103/PhysRevLett.124.015701","journalAbbreviation":"Phys. Rev. Lett.","author":[{"family":"Fratanduono","given":"D. E."},{"family":"Smith","given":"R. F."},{"family":"Ali","given":"S. J."},{"family":"Braun","given":"D. G."},{"family":"Fernandez-Pañella","given":"A."},{"family":"Zhang","given":"S."},{"family":"Kraus","given":"R. G."},{"family":"Coppari","given":"F."},{"family":"McNaney","given":"J. M."},{"family":"Marshall","given":"M. C."},{"family":"Kirch","given":"L. E."},{"family":"Swift","given":"D. C."},{"family":"Millot","given":"M."},{"family":"Wicks","given":"J. K."},{"family":"Eggert","given":"J. H."}],"issued":{"date-parts":[["2020",1,8]]}}},{"id":102,"uris":["http://zotero.org/users/local/dwaXvkNj/items/E5S9CS67"],"uri":["http://zotero.org/users/local/dwaXvkNj/items/E5S9CS67"],"itemData":{"id":102,"type":"article-journal","title":"Establishing gold and platinum standards to 1 terapascal using shockless compression","container-title":"Science","page":"1063-1068","volume":"372","issue":"6546","source":"science.org (Atypon)","abstract":"New techniques are advancing the frontier of high-pressure physics beyond 1 terapascal, leading to new discoveries and offering stringent tests for condensed-matter theory and advanced numerical methods. However, the ability to absolutely determine the pressure state remains challenging, and well-calibrated pressure-density reference materials are required. We conducted shockless dynamic compression experiments at the National Ignition Facility and the Z machine to obtain quasi-absolute, high-precision, pressure-density equation-of-state data for gold and platinum. We derived two experimentally constrained pressure standards to terapascal conditions. Establishing accurate experimental determinations of extreme pressure will facilitate better connections between experiments and theory, paving the way toward improving our understanding of material response to these extreme conditions.","DOI":"10.1126/science.abh0364","author":[{"family":"Fratanduono","given":"D. E."},{"family":"Millot","given":"M."},{"family":"Braun","given":"D. G."},{"family":"Ali","given":"S. J."},{"family":"Fernandez-Pañella","given":"A."},{"family":"Seagle","given":"C. T."},{"family":"Davis","given":"J.-P."},{"family":"Brown","given":"J. L."},{"family":"Akahama","given":"Y."},{"family":"Kraus","given":"R. G."},{"family":"Marshall","given":"M. C."},{"family":"Smith","given":"R. F."},{"family":"O’Bannon","given":"E. F."},{"family":"McNaney","given":"J. M."},{"family":"Eggert","given":"J. H."}],"issued":{"date-parts":[["2021",6,4]]}}},{"id":92,"uris":["http://zotero.org/users/local/dwaXvkNj/items/HJFIVEZC"],"uri":["http://zotero.org/users/local/dwaXvkNj/items/HJFIVEZC"],"itemData":{"id":92,"type":"article-journal","title":"Ramp compression of tantalum to multiterapascal pressures: Constraints of the thermal equation of state to 2.3 TPa and 5000 K","container-title":"Physical Review B","page":"014109","volume":"107","issue":"1","source":"APS","abstract":"We report measurements of the compressibility of ramp compressed tantalum to a final stress of 2.3 TPa corresponding to threefold volumetric compression. Using these data, we extended the experimental constraint on the Ta cold compression curve by an order of magnitude in pressure. By combining the resulting data with previous measurements of shock compression and ambient pressure heating, we construct an experimentally bounded and thermodynamically consistent equation of state model for Ta which has 2% uncertainty in pressure at 1 TPa. We therefore propose Ta as an in situ pressure scale for laser-heated static compression experiments which were recently able to reach terapascal pressures and thousands of degrees Kelvin. Our new equation of state of Ta is experimentally constrained at extreme pressures and temperatures relevant to a wide range of planetary interiors and will allow for more accurate comparison between experimental measurements and theory at extreme conditions.","DOI":"10.1103/PhysRevB.107.014109","shortTitle":"Ramp compression of tantalum to multiterapascal pressures","journalAbbreviation":"Phys. Rev. B","author":[{"family":"Gorman","given":"M. G."},{"family":"Wu","given":"C. J."},{"family":"Smith","given":"R. F."},{"family":"Benedict","given":"L. X."},{"family":"Prisbrey","given":"C. J."},{"family":"Schill","given":"W."},{"family":"Bonev","given":"S. A."},{"family":"Long","given":"Z. C."},{"family":"Söderlind","given":"P."},{"family":"Braun","given":"D."},{"family":"Swift","given":"D. C."},{"family":"Briggs","given":"R."},{"family":"Volz","given":"T. J."},{"family":"O'Bannon","given":"E. F."},{"family":"Celliers","given":"P. M."},{"family":"Fratanduono","given":"D. E."},{"family":"Eggert","given":"J. H."},{"family":"Ali","given":"S. J."},{"family":"McNaney","given":"J. M."}],"issued":{"date-parts":[["2023",1,27]]}}}],"schema":"https://github.com/citation-style-language/schema/raw/master/csl-citation.json"} </w:instrText>
      </w:r>
      <w:r>
        <w:rPr>
          <w:rFonts w:eastAsia="Arial"/>
          <w:szCs w:val="22"/>
          <w:shd w:val="clear" w:color="FDFDFD" w:fill="FDFDFD"/>
        </w:rPr>
        <w:fldChar w:fldCharType="separate"/>
      </w:r>
      <w:r w:rsidR="00A91B09" w:rsidRPr="00A91B09">
        <w:t xml:space="preserve">(Fratanduono </w:t>
      </w:r>
      <w:r w:rsidR="00A91B09" w:rsidRPr="00A91B09">
        <w:rPr>
          <w:i/>
          <w:iCs/>
        </w:rPr>
        <w:t>et al.</w:t>
      </w:r>
      <w:r w:rsidR="00A91B09" w:rsidRPr="00A91B09">
        <w:t xml:space="preserve">, 2020, 2021; Gorman </w:t>
      </w:r>
      <w:r w:rsidR="00A91B09" w:rsidRPr="00A91B09">
        <w:rPr>
          <w:i/>
          <w:iCs/>
        </w:rPr>
        <w:t>et al.</w:t>
      </w:r>
      <w:r w:rsidR="00A91B09" w:rsidRPr="00A91B09">
        <w:t>, 2023)</w:t>
      </w:r>
      <w:r>
        <w:rPr>
          <w:rFonts w:eastAsia="Arial"/>
          <w:szCs w:val="22"/>
          <w:shd w:val="clear" w:color="FDFDFD" w:fill="FDFDFD"/>
        </w:rPr>
        <w:fldChar w:fldCharType="end"/>
      </w:r>
      <w:r w:rsidRPr="003B5275">
        <w:rPr>
          <w:rFonts w:eastAsia="Arial"/>
          <w:szCs w:val="22"/>
          <w:shd w:val="clear" w:color="FDFDFD" w:fill="FDFDFD"/>
        </w:rPr>
        <w:t xml:space="preserve"> </w:t>
      </w:r>
      <w:r>
        <w:rPr>
          <w:rFonts w:eastAsia="Arial"/>
          <w:szCs w:val="22"/>
          <w:shd w:val="clear" w:color="FDFDFD" w:fill="FDFDFD"/>
        </w:rPr>
        <w:t xml:space="preserve">- </w:t>
      </w:r>
      <w:r w:rsidRPr="003B5275">
        <w:rPr>
          <w:rFonts w:eastAsia="Arial"/>
          <w:szCs w:val="22"/>
          <w:shd w:val="clear" w:color="FDFDFD" w:fill="FDFDFD"/>
        </w:rPr>
        <w:t xml:space="preserve">significantly </w:t>
      </w:r>
      <w:r>
        <w:rPr>
          <w:rFonts w:eastAsia="Arial"/>
          <w:szCs w:val="22"/>
          <w:shd w:val="clear" w:color="FDFDFD" w:fill="FDFDFD"/>
        </w:rPr>
        <w:t>cooler than</w:t>
      </w:r>
      <w:r w:rsidRPr="003B5275">
        <w:rPr>
          <w:rFonts w:eastAsia="Arial"/>
          <w:szCs w:val="22"/>
          <w:shd w:val="clear" w:color="FDFDFD" w:fill="FDFDFD"/>
        </w:rPr>
        <w:t xml:space="preserve"> the shock </w:t>
      </w:r>
      <w:proofErr w:type="spellStart"/>
      <w:r w:rsidRPr="003B5275">
        <w:rPr>
          <w:rFonts w:eastAsia="Arial"/>
          <w:szCs w:val="22"/>
          <w:shd w:val="clear" w:color="FDFDFD" w:fill="FDFDFD"/>
        </w:rPr>
        <w:t>Hugoniot</w:t>
      </w:r>
      <w:proofErr w:type="spellEnd"/>
      <w:r>
        <w:rPr>
          <w:rFonts w:eastAsia="Arial"/>
          <w:szCs w:val="22"/>
          <w:shd w:val="clear" w:color="FDFDFD" w:fill="FDFDFD"/>
        </w:rPr>
        <w:t xml:space="preserve"> –</w:t>
      </w:r>
      <w:r w:rsidRPr="003B5275">
        <w:rPr>
          <w:rFonts w:eastAsia="Arial"/>
          <w:szCs w:val="22"/>
          <w:shd w:val="clear" w:color="FDFDFD" w:fill="FDFDFD"/>
        </w:rPr>
        <w:t xml:space="preserve"> </w:t>
      </w:r>
      <w:r>
        <w:rPr>
          <w:rFonts w:eastAsia="Arial"/>
          <w:szCs w:val="22"/>
          <w:shd w:val="clear" w:color="FDFDFD" w:fill="FDFDFD"/>
        </w:rPr>
        <w:t xml:space="preserve">compression is not isothermal, and </w:t>
      </w:r>
      <w:r w:rsidRPr="009B176E">
        <w:rPr>
          <w:szCs w:val="22"/>
        </w:rPr>
        <w:t>temperature</w:t>
      </w:r>
      <w:r>
        <w:rPr>
          <w:szCs w:val="22"/>
        </w:rPr>
        <w:t xml:space="preserve">s determination can be very challenging as temperatures are often too low to measure with conventional streaked pyrometry </w:t>
      </w:r>
      <w:r>
        <w:rPr>
          <w:szCs w:val="22"/>
        </w:rPr>
        <w:fldChar w:fldCharType="begin"/>
      </w:r>
      <w:r w:rsidR="006722F5">
        <w:rPr>
          <w:szCs w:val="22"/>
        </w:rPr>
        <w:instrText xml:space="preserve"> ADDIN ZOTERO_ITEM CSL_CITATION {"citationID":"z43EFL9X","properties":{"formattedCitation":"(Gregor {\\i{}et al.}, 2016)","plainCitation":"(Gregor et al., 2016)","noteIndex":0},"citationItems":[{"id":106,"uris":["http://zotero.org/users/local/dwaXvkNj/items/DACWU3IE"],"uri":["http://zotero.org/users/local/dwaXvkNj/items/DACWU3IE"],"itemData":{"id":106,"type":"article-journal","title":"Absolute calibration of the OMEGA streaked optical pyrometer for temperature measurements of compressed materials","container-title":"Review of Scientific Instruments","page":"114903","volume":"87","issue":"11","source":"aip.scitation.org (Atypon)","abstract":"Experiments in high-energy-density physics often use optical pyrometry to determine temperatures of dynamically compressed materials. In combination with simultaneous shock-velocity and optical-reflectivity measurements using velocity interferometry, these experiments provide accurate equation-of-state data at extreme pressures (P &gt; 1 Mbar) and temperatures (T &gt; 0.5 eV). This paper reports on the absolute calibration of the streaked optical pyrometer (SOP) at the Omega Laser Facility. The wavelength-dependent system response was determined by measuring the optical emission from a National Institute of Standards and Technology–traceable tungsten-filament lamp through various narrowband (40-nm-wide) filters. The integrated signal over the SOP’s </w:instrText>
      </w:r>
      <w:r w:rsidR="006722F5">
        <w:rPr>
          <w:rFonts w:ascii="Cambria Math" w:hAnsi="Cambria Math" w:cs="Cambria Math"/>
          <w:szCs w:val="22"/>
        </w:rPr>
        <w:instrText>∼</w:instrText>
      </w:r>
      <w:r w:rsidR="006722F5">
        <w:rPr>
          <w:szCs w:val="22"/>
        </w:rPr>
        <w:instrText xml:space="preserve">250-nm operating range is then related to that of a blackbody radiator using the calibrated response. We present a simple closed-form equation for the brightness temperature as a function of streak-camera signal derived from this calibration. Error estimates indicate that brightness temperature can be inferred to a precision of &lt;5%.","DOI":"10.1063/1.4968023","ISSN":"0034-6748","journalAbbreviation":"Rev. Sci. Instrum.","author":[{"family":"Gregor","given":"M. C."},{"family":"Boni","given":"R."},{"family":"Sorce","given":"A."},{"family":"Kendrick","given":"J."},{"family":"McCoy","given":"C. A."},{"family":"Polsin","given":"D. N."},{"family":"Boehly","given":"T. R."},{"family":"Celliers","given":"P. M."},{"family":"Collins","given":"G. W."},{"family":"Fratanduono","given":"D. E."},{"family":"Eggert","given":"J. H."},{"family":"Millot","given":"M."}],"issued":{"date-parts":[["2016",11]]}}}],"schema":"https://github.com/citation-style-language/schema/raw/master/csl-citation.json"} </w:instrText>
      </w:r>
      <w:r>
        <w:rPr>
          <w:szCs w:val="22"/>
        </w:rPr>
        <w:fldChar w:fldCharType="separate"/>
      </w:r>
      <w:r w:rsidRPr="009B176E">
        <w:t xml:space="preserve">(Gregor </w:t>
      </w:r>
      <w:r w:rsidRPr="009B176E">
        <w:rPr>
          <w:i/>
          <w:iCs/>
        </w:rPr>
        <w:t>et al.</w:t>
      </w:r>
      <w:r w:rsidRPr="009B176E">
        <w:t>, 2016)</w:t>
      </w:r>
      <w:r>
        <w:rPr>
          <w:szCs w:val="22"/>
        </w:rPr>
        <w:fldChar w:fldCharType="end"/>
      </w:r>
      <w:r>
        <w:rPr>
          <w:szCs w:val="22"/>
        </w:rPr>
        <w:t>.</w:t>
      </w:r>
      <w:r>
        <w:rPr>
          <w:rFonts w:eastAsia="Arial"/>
          <w:shd w:val="clear" w:color="FDFDFD" w:fill="FDFDFD"/>
        </w:rPr>
        <w:t xml:space="preserve"> </w:t>
      </w:r>
    </w:p>
    <w:p w14:paraId="1190C1F1" w14:textId="4F059A54" w:rsidR="00A20AFF" w:rsidRPr="007615FA" w:rsidRDefault="00A20AFF" w:rsidP="00A20AFF">
      <w:pPr>
        <w:pStyle w:val="IUCrbodytext"/>
        <w:rPr>
          <w:rFonts w:eastAsia="Arial"/>
          <w:bCs/>
          <w:shd w:val="clear" w:color="FDFDFD" w:fill="FDFDFD"/>
        </w:rPr>
      </w:pPr>
      <w:r>
        <w:rPr>
          <w:rFonts w:eastAsia="Arial"/>
          <w:bCs/>
          <w:shd w:val="clear" w:color="FDFDFD" w:fill="FDFDFD"/>
        </w:rPr>
        <w:t xml:space="preserve">Investigation of material behaviour during </w:t>
      </w:r>
      <w:proofErr w:type="spellStart"/>
      <w:r>
        <w:rPr>
          <w:rFonts w:eastAsia="Arial"/>
          <w:bCs/>
          <w:shd w:val="clear" w:color="FDFDFD" w:fill="FDFDFD"/>
        </w:rPr>
        <w:t>dDAC</w:t>
      </w:r>
      <w:proofErr w:type="spellEnd"/>
      <w:r>
        <w:rPr>
          <w:rFonts w:eastAsia="Arial"/>
          <w:bCs/>
          <w:shd w:val="clear" w:color="FDFDFD" w:fill="FDFDFD"/>
        </w:rPr>
        <w:t xml:space="preserve"> compression requires appropriate time-resolved diagnostics which are compatible with the compression timescale. </w:t>
      </w:r>
      <w:r w:rsidRPr="004742BD">
        <w:rPr>
          <w:rFonts w:eastAsia="Arial"/>
          <w:bCs/>
          <w:shd w:val="clear" w:color="FDFDFD" w:fill="FDFDFD"/>
        </w:rPr>
        <w:t>The development of high frame-rate, photon counting X-ray detectors such as the LAMBDA</w:t>
      </w:r>
      <w:r>
        <w:rPr>
          <w:rFonts w:eastAsia="Arial"/>
          <w:bCs/>
          <w:shd w:val="clear" w:color="FDFDFD" w:fill="FDFDFD"/>
        </w:rPr>
        <w:t xml:space="preserve"> </w:t>
      </w:r>
      <w:r>
        <w:rPr>
          <w:rFonts w:eastAsia="Arial"/>
          <w:bCs/>
          <w:shd w:val="clear" w:color="FDFDFD" w:fill="FDFDFD"/>
        </w:rPr>
        <w:fldChar w:fldCharType="begin"/>
      </w:r>
      <w:r>
        <w:rPr>
          <w:rFonts w:eastAsia="Arial"/>
          <w:bCs/>
          <w:shd w:val="clear" w:color="FDFDFD" w:fill="FDFDFD"/>
        </w:rPr>
        <w:instrText xml:space="preserve"> ADDIN ZOTERO_ITEM CSL_CITATION {"citationID":"00TCCxBV","properties":{"formattedCitation":"(Pennicard {\\i{}et al.}, 2013)","plainCitation":"(Pennicard et al., 2013)","noteIndex":0},"citationItems":[{"id":62,"uris":["http://zotero.org/users/local/dwaXvkNj/items/83XRNGDQ"],"uri":["http://zotero.org/users/local/dwaXvkNj/items/83XRNGDQ"],"itemData":{"id":62,"type":"article-journal","title":"The LAMBDA photon-counting pixel detector","container-title":"Journal of Physics: Conference Series","page":"062010","volume":"425","issue":"6","source":"Institute of Physics","abstract":"The Medipix3 photon-counting detector chip has a number of novel features that are attractive for synchrotron experiments, such as a high frame rate with zero dead time and high spatial resolution. DESY are developing a large-area Medipix3-based detector array (LAMBDA). A single LAMBDA module consists of 2 by 6 Medipix3 chips on a ceramic carrier board, bonded to either a single large silicon sensor or two smaller high-Z sensors. The readout system fits behind the carrier board to allow module tiling, and uses a large on-board RAM and multiple 10 Gigabit Ethernet links to permit high-speed readout. Currently, the first large silicon modules have been constructed and read out at low speed, and the firmware for highspeed readout is being developed. In addition to these silicon sensors, we are developing a germanium hybrid pixel detector in collaboration with Canberra for higher-energy beamlines. Canberra have produced a set of 256-by-256-pixel planar germanium sensors with 55μm pitch, and these are currently being bonded to Medipix3 readout chips by Fraunhofer IZM (Berlin).","DOI":"10.1088/1742-6596/425/6/062010","ISSN":"1742-6596","journalAbbreviation":"J. Phys.: Conf. Ser.","language":"en","author":[{"family":"Pennicard","given":"D."},{"family":"Lange","given":"S."},{"family":"Smoljanin","given":"S."},{"family":"Hirsemann","given":"H."},{"family":"Graafsma","given":"H."},{"family":"Epple","given":"M."},{"family":"Zuvic","given":"M."},{"family":"Lampert","given":"M.-O."},{"family":"Fritzsch","given":"T."},{"family":"Rothermund","given":"M."}],"issued":{"date-parts":[["2013",3]]}}}],"schema":"https://github.com/citation-style-language/schema/raw/master/csl-citation.json"} </w:instrText>
      </w:r>
      <w:r>
        <w:rPr>
          <w:rFonts w:eastAsia="Arial"/>
          <w:bCs/>
          <w:shd w:val="clear" w:color="FDFDFD" w:fill="FDFDFD"/>
        </w:rPr>
        <w:fldChar w:fldCharType="separate"/>
      </w:r>
      <w:r w:rsidRPr="00382DA0">
        <w:t xml:space="preserve">(Pennicard </w:t>
      </w:r>
      <w:r w:rsidRPr="00382DA0">
        <w:rPr>
          <w:i/>
          <w:iCs/>
        </w:rPr>
        <w:t>et al.</w:t>
      </w:r>
      <w:r w:rsidRPr="00382DA0">
        <w:t>, 2013)</w:t>
      </w:r>
      <w:r>
        <w:rPr>
          <w:rFonts w:eastAsia="Arial"/>
          <w:bCs/>
          <w:shd w:val="clear" w:color="FDFDFD" w:fill="FDFDFD"/>
        </w:rPr>
        <w:fldChar w:fldCharType="end"/>
      </w:r>
      <w:r w:rsidRPr="004742BD">
        <w:rPr>
          <w:rFonts w:eastAsia="Arial"/>
          <w:bCs/>
          <w:shd w:val="clear" w:color="FDFDFD" w:fill="FDFDFD"/>
        </w:rPr>
        <w:t xml:space="preserve"> and the EIGER has </w:t>
      </w:r>
      <w:r>
        <w:rPr>
          <w:rFonts w:eastAsia="Arial"/>
          <w:bCs/>
          <w:shd w:val="clear" w:color="FDFDFD" w:fill="FDFDFD"/>
        </w:rPr>
        <w:t>permitted</w:t>
      </w:r>
      <w:r w:rsidRPr="004742BD">
        <w:rPr>
          <w:rFonts w:eastAsia="Arial"/>
          <w:bCs/>
          <w:shd w:val="clear" w:color="FDFDFD" w:fill="FDFDFD"/>
        </w:rPr>
        <w:t xml:space="preserve"> time-resolved X-ray diffraction (XRD) studies of </w:t>
      </w:r>
      <w:proofErr w:type="spellStart"/>
      <w:r w:rsidRPr="004742BD">
        <w:rPr>
          <w:rFonts w:eastAsia="Arial"/>
          <w:bCs/>
          <w:shd w:val="clear" w:color="FDFDFD" w:fill="FDFDFD"/>
        </w:rPr>
        <w:t>dDAC</w:t>
      </w:r>
      <w:proofErr w:type="spellEnd"/>
      <w:r w:rsidRPr="004742BD">
        <w:rPr>
          <w:rFonts w:eastAsia="Arial"/>
          <w:bCs/>
          <w:shd w:val="clear" w:color="FDFDFD" w:fill="FDFDFD"/>
        </w:rPr>
        <w:t xml:space="preserve">-compressed samples to be performed at synchrotron radiation sources </w:t>
      </w:r>
      <w:r w:rsidRPr="00F608AB">
        <w:rPr>
          <w:rFonts w:eastAsia="Arial"/>
          <w:bCs/>
          <w:shd w:val="clear" w:color="FDFDFD" w:fill="FDFDFD"/>
        </w:rPr>
        <w:fldChar w:fldCharType="begin"/>
      </w:r>
      <w:r w:rsidR="00491DFC">
        <w:rPr>
          <w:rFonts w:eastAsia="Arial"/>
          <w:bCs/>
          <w:shd w:val="clear" w:color="FDFDFD" w:fill="FDFDFD"/>
        </w:rPr>
        <w:instrText xml:space="preserve"> ADDIN ZOTERO_ITEM CSL_CITATION {"citationID":"18J7pQNb","properties":{"formattedCitation":"(Marquardt {\\i{}et al.}, 2018; M\\uc0\\u233{}ndez {\\i{}et al.}, 2021; Husband, O\\uc0\\u8217{}Bannon {\\i{}et al.}, 2021; Schoelmerich {\\i{}et al.}, 2022; O\\uc0\\u8217{}Bannon {\\i{}et al.}, 2022; M\\uc0\\u233{}ndez {\\i{}et al.}, 2022)","plainCitation":"(Marquardt et al., 2018; Méndez et al., 2021; Husband, O’Bannon et al., 2021; Schoelmerich et al., 2022; O’Bannon et al., 2022; Méndez et al., 2022)","noteIndex":0},"citationItems":[{"id":25,"uris":["http://zotero.org/users/local/dwaXvkNj/items/K4WWTCI4"],"uri":["http://zotero.org/users/local/dwaXvkNj/items/K4WWTCI4"],"itemData":{"id":25,"type":"article-journal","title":"Elastic Softening of (Mg0.8Fe0.2)O Ferropericlase Across the Iron Spin Crossover Measured at Seismic Frequencies","container-title":"Geophysical Research Letters","page":"6862-6868","volume":"45","issue":"14","source":"Wiley Online Library","abstract":"We experimentally determined the bulk modulus of (Mg0.8Fe0.2)O ferropericlase across the iron spin transition and in the low-spin phase by employing a new experimental approach. In our measurements, we simulate the propagation of a compressional seismic wave (P wave) through our sample by employing a piezo-driven dynamic diamond anvil cell that allows to oscillate pressure at seismic frequencies. During pressure oscillations, X-ray diffraction images were continuously collected every 5–50 ms. The bulk modulus is directly calculated from these data at different pressures. Our experiments show a pronounced softening of the bulk modulus throughout the spin crossover, supporting previous single-crystal measurements at very high frequencies and computations. Comparison of our results to previous data collected on (Mg,Fe)O with lower iron contents shows that the magnitude of softening strongly depends on iron content. Our experiments at seismic frequencies confirm that the iron spin crossover markedly affects the ratio of seismic compressional to shear wave velocities in Earth's lower mantle.","DOI":"10.1029/2018GL077982","ISSN":"1944-8007","journalAbbreviation":"Geophys. Res. Lett.","language":"en","author":[{"family":"Marquardt","given":"H."},{"family":"Buchen","given":"J."},{"family":"Mendez","given":"A. S. J."},{"family":"Kurnosov","given":"A."},{"family":"Wendt","given":"M."},{"family":"Rothkirch","given":"A."},{"family":"Pennicard","given":"D."},{"family":"Liermann","given":"H.-P."}],"issued":{"date-parts":[["2018"]]}}},{"id":"GMxW0Csb/ahSZMLG6","uris":["http://zotero.org/users/local/uJBp8IoE/items/M7V8CNFC"],"uri":["http://zotero.org/users/local/uJBp8IoE/items/M7V8CNFC"],"itemData":{"id":126,"type":"article-journal","abstract":"We have studied the H2O ice VII–ice X phase transition at room temperature by performing three quasicontinuous synchrotron time-resolved x-ray-diffraction experiments in a dynamic diamond anvil cell, reaching pressures of 180 GPa. The dense pressure coverage of our volume data allows us to directly derive the bulk modulus for H2O over the entire pressure range. Our data document three major changes in compression behavior in the ranges of 35–40, 50–55, and 90–110 GPa, likely corresponding to the formation of pretransition dynamically disordered ice VII and ice X, and static ice X, respectively. Our results confirm that ice X has a very high bulk modulus.","container-title":"Physical Review B","DOI":"10.1103/PhysRevB.103.064104","issue":"6","journalAbbreviation":"Phys. Rev. B","note":"publisher: American Physical Society","page":"064104","source":"APS","title":"Bulk modulus of ${\\mathrm{H}}_{2}\\mathrm{O}$ across the ice VII--ice X transition measured by time-resolved x-ray diffraction in dynamic diamond anvil cell experiments","volume":"103","author":[{"family":"Méndez","given":"A. S. J."},{"family":"Trybel","given":"F."},{"family":"Husband","given":"R. J."},{"family":"Steinle-Neumann","given":"G."},{"family":"Liermann","given":"H.-P."},{"family":"Marquardt","given":"H."}],"issued":{"date-parts":[["2021",2,17]]}}},{"id":121,"uris":["http://zotero.org/users/local/dwaXvkNj/items/8B3LT9HW"],"uri":["http://zotero.org/users/local/dwaXvkNj/items/8B3LT9HW"],"itemData":{"id":121,"type":"article-journal","title":"Compression-rate dependence of pressure-induced phase transitions in Bi","container-title":"Scientific Reports","page":"14859","volume":"11","issue":"1","source":"www.nature.com","abstract":"It is qualitatively well known that kinetics related to nucleation and growth can shift apparent phase boundaries from their equilibrium value. In this work, we have measured this effect in Bi using time-resolved X-ray diffraction with unprecedented 0.25 ms time resolution, accurately determining phase transition pressures at compression rates spanning five orders of magnitude (10–2–103 GPa/s) using the dynamic diamond anvil cell. An over-pressurization of the Bi-III/Bi-V phase boundary is observed at fast compression rates for different sample types and stress states, and the largest over-pressurization that is observed is ΔP = 2.5 GPa. The work presented here paves the way for future studies of transition kinetics at previously inaccessible compression rates.","DOI":"10.1038/s41598-021-94260-y","ISSN":"2045-2322","journalAbbreviation":"Sci. Rep.","language":"en","author":[{"family":"Husband","given":"Rachel J."},{"family":"O’Bannon","given":"Earl F."},{"family":"Liermann","given":"Hanns-Peter"},{"family":"Lipp","given":"Magnus J."},{"family":"Méndez","given":"Alba S. J."},{"family":"Konôpková","given":"Zuzana"},{"family":"McBride","given":"Emma E."},{"family":"Evans","given":"William J."},{"family":"Jenei","given":"Zsolt"}],"issued":{"date-parts":[["2021",7,21]]}}},{"id":28,"uris":["http://zotero.org/users/local/dwaXvkNj/items/4XZEK4HQ"],"uri":["http://zotero.org/users/local/dwaXvkNj/items/4XZEK4HQ"],"itemData":{"id":28,"type":"article-journal","title":"In situ x-ray diffraction study of dynamically compressed $\\ensuremath{\\alpha}$-cristobalite using a dynamic diamond anvil cell","container-title":"Physical Review B","page":"064109","volume":"105","issue":"6","source":"APS","abstract":"In this study we present results of the dynamic compression of α-cristobalite up to a pressure of 106 GPa with the use of the dynamic diamond anvil cell. X-ray diffraction images were recorded at different ramp compression and decompression rates to investigate in situ the high-pressure phase transitions of α-cristobalite. Our results suggest that the pressure onset of the phase transformation of α-cristobalite to cristobalite II, cristobalite X-I, and ultimately to seifertite (α−PbO2 type SiO2) is dependent on the applied compression rates and stress conditions of the experiment. Increasing compression rates in general shift the studied phase transitions to higher pressures. Furthermore, our results indicate for single crystals under hydrostatic conditions a suppression of a phase transition from cristobalite X-I to seifertite at pressures of up to 82 GPa.","DOI":"10.1103/PhysRevB.105.064109","journalAbbreviation":"Phys. Rev. B","author":[{"family":"Schoelmerich","given":"M. O."},{"family":"Mendez","given":"A. S. J."},{"family":"Plueckthun","given":"C."},{"family":"Biedermann","given":"N."},{"family":"Husband","given":"R."},{"family":"Preston","given":"T. R."},{"family":"Wollenweber","given":"L."},{"family":"Klimm","given":"K."},{"family":"Tschentscher","given":"T."},{"family":"Redmer","given":"R."},{"family":"Liermann","given":"H. P."},{"family":"Appel","given":"K."}],"issued":{"date-parts":[["2022",2,22]]}}},{"id":34,"uris":["http://zotero.org/users/local/dwaXvkNj/items/XHG3VDFH"],"uri":["http://zotero.org/users/local/dwaXvkNj/items/XHG3VDFH"],"itemData":{"id":34,"type":"article-journal","title":"Dynamic compression of Ce and Pr with millisecond time-resolved X-ray diffraction","container-title":"Scientific Reports","page":"17294","volume":"12","issue":"1","source":"www.nature.com","abstract":"Both cerium (Ce) and praseodymium (Pr) undergo a volume collapse transition under compression that originate from similar electronic mechanisms. Yet the outcome could not be more different. In the case of Ce with one affected 4f electron the volume collapse leaves the crystal symmetry intact, whereas for Pr with two 4f electrons the crystal symmetry changes from a distorted face centered cubic structure to a lower symmetry orthorhombic structure. In this paper, we present a study of the effect of strain/compression rate spanning nearly 4 orders of magnitude on the volume collapse phase transitions in Ce and Pr. These dynamic compression experiments in a diamond anvil cell also reveal kinetic differences between the phase transformations observed in these two materials. The transition cannot be overdriven in pressure in Ce, which indicates a fast kinetic process, whereas fast compression rates in Pr lead to a shift of the phase boundary to higher pressures, pointing to slower kinetics possibly due to the realization of a new crystal structure.","DOI":"10.1038/s41598-022-22111-5","ISSN":"2045-2322","journalAbbreviation":"Sci. Rep.","language":"en","author":[{"family":"O’Bannon","given":"Earl F."},{"family":"Husband","given":"Rachel J."},{"family":"Baer","given":"Bruce J."},{"family":"Lipp","given":"Magnus J."},{"family":"Liermann","given":"Hanns-Peter"},{"family":"Evans","given":"William J."},{"family":"Jenei","given":"Zsolt"}],"issued":{"date-parts":[["2022",10,14]]}}},{"id":65,"uris":["http://zotero.org/users/local/dwaXvkNj/items/Q5CE9VZN"],"uri":["http://zotero.org/users/local/dwaXvkNj/items/Q5CE9VZN"],"itemData":{"id":65,"type":"article-journal","title":"Broad Elastic Softening of (Mg,Fe)O Ferropericlase Across the Iron Spin Crossover and a Mixed-Spin Lower Mantle","container-title":"Journal of Geophysical Research: Solid Earth","page":"e2021JB023832","volume":"127","issue":"8","source":"Wiley Online Library","abstract":"The elastic bulk modulus softening of (Mg,Fe)O ferropericlase across the iron spin crossover induces dramatic changes in its physical properties, including seismic P-velocities and viscosity. Here, we performed compression of powders of (Mg0.8-0.9Fe0.2-0.1)O in a piezo-driven dynamic Diamond Anvil Cell (dDAC) and derive the bulk modulus by differentiation of pressure and volume data, providing first data on the broadness of the elastic softening for ferropericlase with mantle-relevant compositions. We complement our experimental results with theoretical calculations that extend previous studies by considering multiple random configurations of iron, and going beyond treating high- and low-spin iron as an ideal solution. Both experiments and computations show a broad and asymmetric softening of the bulk modulus, and suggest that the softening is sensitive to the distribution of iron in the ferropericlase structure. Our high-temperature calculations show that mixed-spin (Mg,Fe)O dominates the lower mantle at all depths below 1,000 km. In contrast to most previous works, we find that ferropericlase will not exist in pure low-spin state along a typical mantle geotherm. Based on our model, the physical properties of ferropericlase will show significant lateral variation at depths below 1,400 km, with the strongest effects expected between 2,000 and 2,600 km.","DOI":"10.1029/2021JB023832","ISSN":"2169-9356","journalAbbreviation":"J. Geophys. Res. Solid Earth","language":"en","author":[{"family":"Méndez","given":"A. S. J."},{"family":"Stackhouse","given":"S."},{"family":"Trautner","given":"V."},{"family":"Wang","given":"B."},{"family":"Satta","given":"N."},{"family":"Kurnosov","given":"A."},{"family":"Husband","given":"R. J."},{"family":"Glazyrin","given":"K."},{"family":"Liermann","given":"H.-P."},{"family":"Marquardt","given":"H."}],"issued":{"date-parts":[["2022"]]}}}],"schema":"https://github.com/citation-style-language/schema/raw/master/csl-citation.json"} </w:instrText>
      </w:r>
      <w:r w:rsidRPr="00F608AB">
        <w:rPr>
          <w:rFonts w:eastAsia="Arial"/>
          <w:bCs/>
          <w:shd w:val="clear" w:color="FDFDFD" w:fill="FDFDFD"/>
        </w:rPr>
        <w:fldChar w:fldCharType="separate"/>
      </w:r>
      <w:r w:rsidRPr="001E360B">
        <w:t xml:space="preserve">(Marquardt </w:t>
      </w:r>
      <w:r w:rsidRPr="001E360B">
        <w:rPr>
          <w:i/>
          <w:iCs/>
        </w:rPr>
        <w:t>et al.</w:t>
      </w:r>
      <w:r w:rsidRPr="001E360B">
        <w:t xml:space="preserve">, 2018; Méndez </w:t>
      </w:r>
      <w:r w:rsidRPr="001E360B">
        <w:rPr>
          <w:i/>
          <w:iCs/>
        </w:rPr>
        <w:t>et al.</w:t>
      </w:r>
      <w:r w:rsidRPr="001E360B">
        <w:t xml:space="preserve">, 2021; Husband, O’Bannon </w:t>
      </w:r>
      <w:r w:rsidRPr="001E360B">
        <w:rPr>
          <w:i/>
          <w:iCs/>
        </w:rPr>
        <w:t>et al.</w:t>
      </w:r>
      <w:r w:rsidRPr="001E360B">
        <w:t xml:space="preserve">, 2021; Schoelmerich </w:t>
      </w:r>
      <w:r w:rsidRPr="001E360B">
        <w:rPr>
          <w:i/>
          <w:iCs/>
        </w:rPr>
        <w:t>et al.</w:t>
      </w:r>
      <w:r w:rsidRPr="001E360B">
        <w:t xml:space="preserve">, 2022; O’Bannon </w:t>
      </w:r>
      <w:r w:rsidRPr="001E360B">
        <w:rPr>
          <w:i/>
          <w:iCs/>
        </w:rPr>
        <w:t>et al.</w:t>
      </w:r>
      <w:r w:rsidRPr="001E360B">
        <w:t xml:space="preserve">, 2022; Méndez </w:t>
      </w:r>
      <w:r w:rsidRPr="001E360B">
        <w:rPr>
          <w:i/>
          <w:iCs/>
        </w:rPr>
        <w:t>et al.</w:t>
      </w:r>
      <w:r w:rsidRPr="001E360B">
        <w:t>, 2022)</w:t>
      </w:r>
      <w:r w:rsidRPr="00F608AB">
        <w:rPr>
          <w:rFonts w:eastAsia="Arial"/>
          <w:bCs/>
          <w:shd w:val="clear" w:color="FDFDFD" w:fill="FDFDFD"/>
        </w:rPr>
        <w:fldChar w:fldCharType="end"/>
      </w:r>
      <w:r w:rsidRPr="004742BD">
        <w:rPr>
          <w:rFonts w:eastAsia="Arial"/>
          <w:bCs/>
          <w:shd w:val="clear" w:color="FDFDFD" w:fill="FDFDFD"/>
        </w:rPr>
        <w:t>, where high</w:t>
      </w:r>
      <w:r w:rsidR="0020499E">
        <w:rPr>
          <w:rFonts w:eastAsia="Arial"/>
          <w:bCs/>
          <w:shd w:val="clear" w:color="FDFDFD" w:fill="FDFDFD"/>
        </w:rPr>
        <w:t>-</w:t>
      </w:r>
      <w:r w:rsidRPr="004742BD">
        <w:rPr>
          <w:rFonts w:eastAsia="Arial"/>
          <w:bCs/>
          <w:shd w:val="clear" w:color="FDFDFD" w:fill="FDFDFD"/>
        </w:rPr>
        <w:t>Z sensors enable efficient detection of high energy photons</w:t>
      </w:r>
      <w:r>
        <w:rPr>
          <w:rFonts w:eastAsia="Arial"/>
          <w:bCs/>
          <w:shd w:val="clear" w:color="FDFDFD" w:fill="FDFDFD"/>
        </w:rPr>
        <w:t xml:space="preserve"> which are essential</w:t>
      </w:r>
      <w:r w:rsidRPr="004742BD">
        <w:rPr>
          <w:rFonts w:eastAsia="Arial"/>
          <w:bCs/>
          <w:shd w:val="clear" w:color="FDFDFD" w:fill="FDFDFD"/>
        </w:rPr>
        <w:t xml:space="preserve"> </w:t>
      </w:r>
      <w:r>
        <w:rPr>
          <w:rFonts w:eastAsia="Arial"/>
          <w:bCs/>
          <w:shd w:val="clear" w:color="FDFDFD" w:fill="FDFDFD"/>
        </w:rPr>
        <w:t xml:space="preserve">to penetrate the </w:t>
      </w:r>
      <w:r>
        <w:rPr>
          <w:rFonts w:eastAsia="Arial"/>
          <w:bCs/>
          <w:shd w:val="clear" w:color="FDFDFD" w:fill="FDFDFD"/>
        </w:rPr>
        <w:lastRenderedPageBreak/>
        <w:t>diamond anvils (≥10 keV) and provide sufficient access to reciprocal space for XRD experiments</w:t>
      </w:r>
      <w:r w:rsidRPr="004742BD">
        <w:rPr>
          <w:rFonts w:eastAsia="Arial"/>
          <w:bCs/>
          <w:shd w:val="clear" w:color="FDFDFD" w:fill="FDFDFD"/>
        </w:rPr>
        <w:t>.</w:t>
      </w:r>
      <w:r>
        <w:rPr>
          <w:rFonts w:eastAsia="Arial"/>
          <w:bCs/>
          <w:shd w:val="clear" w:color="FDFDFD" w:fill="FDFDFD"/>
        </w:rPr>
        <w:t xml:space="preserve"> </w:t>
      </w:r>
      <w:r w:rsidRPr="004742BD">
        <w:rPr>
          <w:rFonts w:eastAsia="Arial"/>
          <w:bCs/>
          <w:shd w:val="clear" w:color="FDFDFD" w:fill="FDFDFD"/>
        </w:rPr>
        <w:t xml:space="preserve">However, minimum exposure times of ~500 µs have </w:t>
      </w:r>
      <w:r>
        <w:rPr>
          <w:rFonts w:eastAsia="Arial"/>
          <w:bCs/>
          <w:shd w:val="clear" w:color="FDFDFD" w:fill="FDFDFD"/>
        </w:rPr>
        <w:t xml:space="preserve">in practice </w:t>
      </w:r>
      <w:r w:rsidRPr="004742BD">
        <w:rPr>
          <w:rFonts w:eastAsia="Arial"/>
          <w:bCs/>
          <w:shd w:val="clear" w:color="FDFDFD" w:fill="FDFDFD"/>
        </w:rPr>
        <w:t xml:space="preserve">limited kinetic studies to compression rates of ~1 </w:t>
      </w:r>
      <w:proofErr w:type="spellStart"/>
      <w:r>
        <w:rPr>
          <w:rFonts w:eastAsia="Arial"/>
          <w:bCs/>
          <w:shd w:val="clear" w:color="FDFDFD" w:fill="FDFDFD"/>
        </w:rPr>
        <w:t>T</w:t>
      </w:r>
      <w:r w:rsidRPr="004742BD">
        <w:rPr>
          <w:rFonts w:eastAsia="Arial"/>
          <w:bCs/>
          <w:shd w:val="clear" w:color="FDFDFD" w:fill="FDFDFD"/>
        </w:rPr>
        <w:t>Pa</w:t>
      </w:r>
      <w:proofErr w:type="spellEnd"/>
      <w:r w:rsidRPr="004742BD">
        <w:rPr>
          <w:rFonts w:eastAsia="Arial"/>
          <w:bCs/>
          <w:shd w:val="clear" w:color="FDFDFD" w:fill="FDFDFD"/>
        </w:rPr>
        <w:t>/s</w:t>
      </w:r>
      <w:r>
        <w:rPr>
          <w:rFonts w:eastAsia="Arial"/>
          <w:bCs/>
          <w:shd w:val="clear" w:color="FDFDFD" w:fill="FDFDFD"/>
        </w:rPr>
        <w:t xml:space="preserve"> (</w:t>
      </w:r>
      <m:oMath>
        <m:acc>
          <m:accPr>
            <m:chr m:val="̇"/>
            <m:ctrlPr>
              <w:rPr>
                <w:rFonts w:ascii="Cambria Math" w:eastAsia="Arial" w:hAnsi="Cambria Math"/>
                <w:i/>
                <w:szCs w:val="22"/>
                <w:shd w:val="clear" w:color="FDFDFD" w:fill="FDFDFD"/>
              </w:rPr>
            </m:ctrlPr>
          </m:accPr>
          <m:e>
            <m:r>
              <w:rPr>
                <w:rFonts w:ascii="Cambria Math" w:eastAsia="Arial" w:hAnsi="Cambria Math"/>
                <w:szCs w:val="22"/>
                <w:shd w:val="clear" w:color="FDFDFD" w:fill="FDFDFD"/>
              </w:rPr>
              <m:t>ε</m:t>
            </m:r>
          </m:e>
        </m:acc>
      </m:oMath>
      <w:r>
        <w:rPr>
          <w:rFonts w:eastAsia="Arial"/>
          <w:szCs w:val="22"/>
          <w:shd w:val="clear" w:color="FDFDFD" w:fill="FDFDFD"/>
        </w:rPr>
        <w:t xml:space="preserve"> </w:t>
      </w:r>
      <w:r>
        <w:rPr>
          <w:rFonts w:eastAsia="Arial"/>
          <w:bCs/>
          <w:shd w:val="clear" w:color="FDFDFD" w:fill="FDFDFD"/>
        </w:rPr>
        <w:t>~ 10</w:t>
      </w:r>
      <w:r w:rsidRPr="00FC3F50">
        <w:rPr>
          <w:rFonts w:eastAsia="Arial"/>
          <w:bCs/>
          <w:shd w:val="clear" w:color="FDFDFD" w:fill="FDFDFD"/>
          <w:vertAlign w:val="superscript"/>
        </w:rPr>
        <w:t>-</w:t>
      </w:r>
      <w:r w:rsidRPr="00E80328">
        <w:rPr>
          <w:rFonts w:eastAsia="Arial"/>
          <w:bCs/>
          <w:shd w:val="clear" w:color="FDFDFD" w:fill="FDFDFD"/>
          <w:vertAlign w:val="superscript"/>
        </w:rPr>
        <w:t>1</w:t>
      </w:r>
      <w:r>
        <w:rPr>
          <w:rFonts w:eastAsia="Arial"/>
          <w:bCs/>
          <w:shd w:val="clear" w:color="FDFDFD" w:fill="FDFDFD"/>
        </w:rPr>
        <w:t xml:space="preserve"> s</w:t>
      </w:r>
      <w:r w:rsidRPr="00E80328">
        <w:rPr>
          <w:rFonts w:eastAsia="Arial"/>
          <w:bCs/>
          <w:shd w:val="clear" w:color="FDFDFD" w:fill="FDFDFD"/>
          <w:vertAlign w:val="superscript"/>
        </w:rPr>
        <w:t>-1</w:t>
      </w:r>
      <w:r>
        <w:rPr>
          <w:rFonts w:eastAsia="Arial"/>
          <w:bCs/>
          <w:shd w:val="clear" w:color="FDFDFD" w:fill="FDFDFD"/>
        </w:rPr>
        <w:t xml:space="preserve">) - </w:t>
      </w:r>
      <w:r w:rsidRPr="004742BD">
        <w:rPr>
          <w:rFonts w:eastAsia="Arial"/>
          <w:bCs/>
          <w:shd w:val="clear" w:color="FDFDFD" w:fill="FDFDFD"/>
        </w:rPr>
        <w:t xml:space="preserve">two orders of magnitude slower than achievable with the </w:t>
      </w:r>
      <w:proofErr w:type="spellStart"/>
      <w:r w:rsidRPr="004742BD">
        <w:rPr>
          <w:rFonts w:eastAsia="Arial"/>
          <w:bCs/>
          <w:shd w:val="clear" w:color="FDFDFD" w:fill="FDFDFD"/>
        </w:rPr>
        <w:t>dDAC</w:t>
      </w:r>
      <w:proofErr w:type="spellEnd"/>
      <w:r>
        <w:rPr>
          <w:rFonts w:eastAsia="Arial"/>
          <w:bCs/>
          <w:shd w:val="clear" w:color="FDFDFD" w:fill="FDFDFD"/>
        </w:rPr>
        <w:t xml:space="preserve"> – in order for phase transition boundaries to be determined to within ~0.25 </w:t>
      </w:r>
      <w:proofErr w:type="spellStart"/>
      <w:r>
        <w:rPr>
          <w:rFonts w:eastAsia="Arial"/>
          <w:bCs/>
          <w:shd w:val="clear" w:color="FDFDFD" w:fill="FDFDFD"/>
        </w:rPr>
        <w:t>GPa</w:t>
      </w:r>
      <w:proofErr w:type="spellEnd"/>
      <w:r>
        <w:rPr>
          <w:rFonts w:eastAsia="Arial"/>
          <w:bCs/>
          <w:shd w:val="clear" w:color="FDFDFD" w:fill="FDFDFD"/>
        </w:rPr>
        <w:t xml:space="preserve"> </w:t>
      </w:r>
      <w:r w:rsidRPr="00F608AB">
        <w:rPr>
          <w:rFonts w:eastAsia="Arial"/>
          <w:bCs/>
          <w:shd w:val="clear" w:color="FDFDFD" w:fill="FDFDFD"/>
        </w:rPr>
        <w:fldChar w:fldCharType="begin"/>
      </w:r>
      <w:r>
        <w:rPr>
          <w:rFonts w:eastAsia="Arial"/>
          <w:bCs/>
          <w:shd w:val="clear" w:color="FDFDFD" w:fill="FDFDFD"/>
        </w:rPr>
        <w:instrText xml:space="preserve"> ADDIN ZOTERO_ITEM CSL_CITATION {"citationID":"juuQyag5","properties":{"formattedCitation":"(Husband, O\\uc0\\u8217{}Bannon {\\i{}et al.}, 2021; O\\uc0\\u8217{}Bannon {\\i{}et al.}, 2022)","plainCitation":"(Husband, O’Bannon et al., 2021; O’Bannon et al., 2022)","noteIndex":0},"citationItems":[{"id":121,"uris":["http://zotero.org/users/local/dwaXvkNj/items/8B3LT9HW"],"uri":["http://zotero.org/users/local/dwaXvkNj/items/8B3LT9HW"],"itemData":{"id":121,"type":"article-journal","title":"Compression-rate dependence of pressure-induced phase transitions in Bi","container-title":"Scientific Reports","page":"14859","volume":"11","issue":"1","source":"www.nature.com","abstract":"It is qualitatively well known that kinetics related to nucleation and growth can shift apparent phase boundaries from their equilibrium value. In this work, we have measured this effect in Bi using time-resolved X-ray diffraction with unprecedented 0.25 ms time resolution, accurately determining phase transition pressures at compression rates spanning five orders of magnitude (10–2–103 GPa/s) using the dynamic diamond anvil cell. An over-pressurization of the Bi-III/Bi-V phase boundary is observed at fast compression rates for different sample types and stress states, and the largest over-pressurization that is observed is ΔP = 2.5 GPa. The work presented here paves the way for future studies of transition kinetics at previously inaccessible compression rates.","DOI":"10.1038/s41598-021-94260-y","ISSN":"2045-2322","journalAbbreviation":"Sci. Rep.","language":"en","author":[{"family":"Husband","given":"Rachel J."},{"family":"O’Bannon","given":"Earl F."},{"family":"Liermann","given":"Hanns-Peter"},{"family":"Lipp","given":"Magnus J."},{"family":"Méndez","given":"Alba S. J."},{"family":"Konôpková","given":"Zuzana"},{"family":"McBride","given":"Emma E."},{"family":"Evans","given":"William J."},{"family":"Jenei","given":"Zsolt"}],"issued":{"date-parts":[["2021",7,21]]}}},{"id":34,"uris":["http://zotero.org/users/local/dwaXvkNj/items/XHG3VDFH"],"uri":["http://zotero.org/users/local/dwaXvkNj/items/XHG3VDFH"],"itemData":{"id":34,"type":"article-journal","title":"Dynamic compression of Ce and Pr with millisecond time-resolved X-ray diffraction","container-title":"Scientific Reports","page":"17294","volume":"12","issue":"1","source":"www.nature.com","abstract":"Both cerium (Ce) and praseodymium (Pr) undergo a volume collapse transition under compression that originate from similar electronic mechanisms. Yet the outcome could not be more different. In the case of Ce with one affected 4f electron the volume collapse leaves the crystal symmetry intact, whereas for Pr with two 4f electrons the crystal symmetry changes from a distorted face centered cubic structure to a lower symmetry orthorhombic structure. In this paper, we present a study of the effect of strain/compression rate spanning nearly 4 orders of magnitude on the volume collapse phase transitions in Ce and Pr. These dynamic compression experiments in a diamond anvil cell also reveal kinetic differences between the phase transformations observed in these two materials. The transition cannot be overdriven in pressure in Ce, which indicates a fast kinetic process, whereas fast compression rates in Pr lead to a shift of the phase boundary to higher pressures, pointing to slower kinetics possibly due to the realization of a new crystal structure.","DOI":"10.1038/s41598-022-22111-5","ISSN":"2045-2322","journalAbbreviation":"Sci. Rep.","language":"en","author":[{"family":"O’Bannon","given":"Earl F."},{"family":"Husband","given":"Rachel J."},{"family":"Baer","given":"Bruce J."},{"family":"Lipp","given":"Magnus J."},{"family":"Liermann","given":"Hanns-Peter"},{"family":"Evans","given":"William J."},{"family":"Jenei","given":"Zsolt"}],"issued":{"date-parts":[["2022",10,14]]}}}],"schema":"https://github.com/citation-style-language/schema/raw/master/csl-citation.json"} </w:instrText>
      </w:r>
      <w:r w:rsidRPr="00F608AB">
        <w:rPr>
          <w:rFonts w:eastAsia="Arial"/>
          <w:bCs/>
          <w:shd w:val="clear" w:color="FDFDFD" w:fill="FDFDFD"/>
        </w:rPr>
        <w:fldChar w:fldCharType="separate"/>
      </w:r>
      <w:r w:rsidRPr="001E360B">
        <w:t xml:space="preserve">(Husband, O’Bannon </w:t>
      </w:r>
      <w:r w:rsidRPr="001E360B">
        <w:rPr>
          <w:i/>
          <w:iCs/>
        </w:rPr>
        <w:t>et al.</w:t>
      </w:r>
      <w:r w:rsidRPr="001E360B">
        <w:t xml:space="preserve">, 2021; O’Bannon </w:t>
      </w:r>
      <w:r w:rsidRPr="001E360B">
        <w:rPr>
          <w:i/>
          <w:iCs/>
        </w:rPr>
        <w:t>et al.</w:t>
      </w:r>
      <w:r w:rsidRPr="001E360B">
        <w:t>, 2022)</w:t>
      </w:r>
      <w:r w:rsidRPr="00F608AB">
        <w:rPr>
          <w:rFonts w:eastAsia="Arial"/>
          <w:bCs/>
          <w:shd w:val="clear" w:color="FDFDFD" w:fill="FDFDFD"/>
        </w:rPr>
        <w:fldChar w:fldCharType="end"/>
      </w:r>
      <w:r>
        <w:rPr>
          <w:rFonts w:eastAsia="Arial"/>
          <w:bCs/>
          <w:shd w:val="clear" w:color="FDFDFD" w:fill="FDFDFD"/>
        </w:rPr>
        <w:t xml:space="preserve">. At faster compression rates, the change in the sample pressure within each detector exposure (i.e. the pressure resolution) is too large to accurately pinpoint phase boundaries. For example, the pressure resolution is limited to ~40 </w:t>
      </w:r>
      <w:proofErr w:type="spellStart"/>
      <w:r>
        <w:rPr>
          <w:rFonts w:eastAsia="Arial"/>
          <w:bCs/>
          <w:shd w:val="clear" w:color="FDFDFD" w:fill="FDFDFD"/>
        </w:rPr>
        <w:t>GPa</w:t>
      </w:r>
      <w:proofErr w:type="spellEnd"/>
      <w:r>
        <w:rPr>
          <w:rFonts w:eastAsia="Arial"/>
          <w:bCs/>
          <w:shd w:val="clear" w:color="FDFDFD" w:fill="FDFDFD"/>
        </w:rPr>
        <w:t xml:space="preserve"> at the maximum reported compression rate (160 </w:t>
      </w:r>
      <w:proofErr w:type="spellStart"/>
      <w:r>
        <w:rPr>
          <w:rFonts w:eastAsia="Arial"/>
          <w:bCs/>
          <w:shd w:val="clear" w:color="FDFDFD" w:fill="FDFDFD"/>
        </w:rPr>
        <w:t>TPa</w:t>
      </w:r>
      <w:proofErr w:type="spellEnd"/>
      <w:r>
        <w:rPr>
          <w:rFonts w:eastAsia="Arial"/>
          <w:bCs/>
          <w:shd w:val="clear" w:color="FDFDFD" w:fill="FDFDFD"/>
        </w:rPr>
        <w:t>/s) with current detector technology, whereas 3 µs exposure times would be required for a resolution of ~0.5 </w:t>
      </w:r>
      <w:proofErr w:type="spellStart"/>
      <w:r>
        <w:rPr>
          <w:rFonts w:eastAsia="Arial"/>
          <w:bCs/>
          <w:shd w:val="clear" w:color="FDFDFD" w:fill="FDFDFD"/>
        </w:rPr>
        <w:t>GPa</w:t>
      </w:r>
      <w:proofErr w:type="spellEnd"/>
      <w:r>
        <w:rPr>
          <w:rFonts w:eastAsia="Arial"/>
          <w:bCs/>
          <w:shd w:val="clear" w:color="FDFDFD" w:fill="FDFDFD"/>
        </w:rPr>
        <w:t xml:space="preserve">. </w:t>
      </w:r>
      <w:r w:rsidRPr="004742BD">
        <w:rPr>
          <w:rFonts w:eastAsia="Arial"/>
          <w:bCs/>
          <w:shd w:val="clear" w:color="FDFDFD" w:fill="FDFDFD"/>
        </w:rPr>
        <w:t xml:space="preserve">Although the next generation of photon counting detectors promises a ~10-fold increase in collection rate, this is still far from what is required to utilize the full </w:t>
      </w:r>
      <w:proofErr w:type="spellStart"/>
      <w:r w:rsidRPr="004742BD">
        <w:rPr>
          <w:rFonts w:eastAsia="Arial"/>
          <w:bCs/>
          <w:shd w:val="clear" w:color="FDFDFD" w:fill="FDFDFD"/>
        </w:rPr>
        <w:t>dDAC</w:t>
      </w:r>
      <w:proofErr w:type="spellEnd"/>
      <w:r w:rsidRPr="004742BD">
        <w:rPr>
          <w:rFonts w:eastAsia="Arial"/>
          <w:bCs/>
          <w:shd w:val="clear" w:color="FDFDFD" w:fill="FDFDFD"/>
        </w:rPr>
        <w:t xml:space="preserve"> capabilities</w:t>
      </w:r>
      <w:r>
        <w:rPr>
          <w:rFonts w:eastAsia="Arial"/>
          <w:bCs/>
          <w:shd w:val="clear" w:color="FDFDFD" w:fill="FDFDFD"/>
        </w:rPr>
        <w:t>.</w:t>
      </w:r>
      <w:r w:rsidRPr="004742BD">
        <w:rPr>
          <w:rFonts w:eastAsia="Arial"/>
          <w:bCs/>
          <w:shd w:val="clear" w:color="FDFDFD" w:fill="FDFDFD"/>
        </w:rPr>
        <w:t xml:space="preserve"> </w:t>
      </w:r>
      <w:r>
        <w:rPr>
          <w:rFonts w:eastAsia="Arial"/>
          <w:bCs/>
          <w:shd w:val="clear" w:color="FDFDFD" w:fill="FDFDFD"/>
        </w:rPr>
        <w:t xml:space="preserve">Synchrotron experiments are further limited by the </w:t>
      </w:r>
      <w:r w:rsidRPr="004742BD">
        <w:rPr>
          <w:rFonts w:eastAsia="Arial"/>
          <w:bCs/>
          <w:shd w:val="clear" w:color="FDFDFD" w:fill="FDFDFD"/>
        </w:rPr>
        <w:t xml:space="preserve">available </w:t>
      </w:r>
      <w:r>
        <w:rPr>
          <w:rFonts w:eastAsia="Arial"/>
          <w:bCs/>
          <w:shd w:val="clear" w:color="FDFDFD" w:fill="FDFDFD"/>
        </w:rPr>
        <w:t>flux, where high f</w:t>
      </w:r>
      <w:r w:rsidRPr="004742BD">
        <w:rPr>
          <w:rFonts w:eastAsia="Arial"/>
          <w:bCs/>
          <w:shd w:val="clear" w:color="FDFDFD" w:fill="FDFDFD"/>
        </w:rPr>
        <w:t xml:space="preserve">rame rate data collection is limited to mid- or high-Z materials </w:t>
      </w:r>
      <w:r w:rsidRPr="00F608AB">
        <w:rPr>
          <w:rFonts w:eastAsia="Arial"/>
          <w:bCs/>
          <w:shd w:val="clear" w:color="FDFDFD" w:fill="FDFDFD"/>
        </w:rPr>
        <w:fldChar w:fldCharType="begin"/>
      </w:r>
      <w:r>
        <w:rPr>
          <w:rFonts w:eastAsia="Arial"/>
          <w:bCs/>
          <w:shd w:val="clear" w:color="FDFDFD" w:fill="FDFDFD"/>
        </w:rPr>
        <w:instrText xml:space="preserve"> ADDIN ZOTERO_ITEM CSL_CITATION {"citationID":"4UMxKroC","properties":{"formattedCitation":"(Husband, O\\uc0\\u8217{}Bannon {\\i{}et al.}, 2021; O\\uc0\\u8217{}Bannon {\\i{}et al.}, 2022)","plainCitation":"(Husband, O’Bannon et al., 2021; O’Bannon et al., 2022)","noteIndex":0},"citationItems":[{"id":121,"uris":["http://zotero.org/users/local/dwaXvkNj/items/8B3LT9HW"],"uri":["http://zotero.org/users/local/dwaXvkNj/items/8B3LT9HW"],"itemData":{"id":121,"type":"article-journal","title":"Compression-rate dependence of pressure-induced phase transitions in Bi","container-title":"Scientific Reports","page":"14859","volume":"11","issue":"1","source":"www.nature.com","abstract":"It is qualitatively well known that kinetics related to nucleation and growth can shift apparent phase boundaries from their equilibrium value. In this work, we have measured this effect in Bi using time-resolved X-ray diffraction with unprecedented 0.25 ms time resolution, accurately determining phase transition pressures at compression rates spanning five orders of magnitude (10–2–103 GPa/s) using the dynamic diamond anvil cell. An over-pressurization of the Bi-III/Bi-V phase boundary is observed at fast compression rates for different sample types and stress states, and the largest over-pressurization that is observed is ΔP = 2.5 GPa. The work presented here paves the way for future studies of transition kinetics at previously inaccessible compression rates.","DOI":"10.1038/s41598-021-94260-y","ISSN":"2045-2322","journalAbbreviation":"Sci. Rep.","language":"en","author":[{"family":"Husband","given":"Rachel J."},{"family":"O’Bannon","given":"Earl F."},{"family":"Liermann","given":"Hanns-Peter"},{"family":"Lipp","given":"Magnus J."},{"family":"Méndez","given":"Alba S. J."},{"family":"Konôpková","given":"Zuzana"},{"family":"McBride","given":"Emma E."},{"family":"Evans","given":"William J."},{"family":"Jenei","given":"Zsolt"}],"issued":{"date-parts":[["2021",7,21]]}}},{"id":34,"uris":["http://zotero.org/users/local/dwaXvkNj/items/XHG3VDFH"],"uri":["http://zotero.org/users/local/dwaXvkNj/items/XHG3VDFH"],"itemData":{"id":34,"type":"article-journal","title":"Dynamic compression of Ce and Pr with millisecond time-resolved X-ray diffraction","container-title":"Scientific Reports","page":"17294","volume":"12","issue":"1","source":"www.nature.com","abstract":"Both cerium (Ce) and praseodymium (Pr) undergo a volume collapse transition under compression that originate from similar electronic mechanisms. Yet the outcome could not be more different. In the case of Ce with one affected 4f electron the volume collapse leaves the crystal symmetry intact, whereas for Pr with two 4f electrons the crystal symmetry changes from a distorted face centered cubic structure to a lower symmetry orthorhombic structure. In this paper, we present a study of the effect of strain/compression rate spanning nearly 4 orders of magnitude on the volume collapse phase transitions in Ce and Pr. These dynamic compression experiments in a diamond anvil cell also reveal kinetic differences between the phase transformations observed in these two materials. The transition cannot be overdriven in pressure in Ce, which indicates a fast kinetic process, whereas fast compression rates in Pr lead to a shift of the phase boundary to higher pressures, pointing to slower kinetics possibly due to the realization of a new crystal structure.","DOI":"10.1038/s41598-022-22111-5","ISSN":"2045-2322","journalAbbreviation":"Sci. Rep.","language":"en","author":[{"family":"O’Bannon","given":"Earl F."},{"family":"Husband","given":"Rachel J."},{"family":"Baer","given":"Bruce J."},{"family":"Lipp","given":"Magnus J."},{"family":"Liermann","given":"Hanns-Peter"},{"family":"Evans","given":"William J."},{"family":"Jenei","given":"Zsolt"}],"issued":{"date-parts":[["2022",10,14]]}}}],"schema":"https://github.com/citation-style-language/schema/raw/master/csl-citation.json"} </w:instrText>
      </w:r>
      <w:r w:rsidRPr="00F608AB">
        <w:rPr>
          <w:rFonts w:eastAsia="Arial"/>
          <w:bCs/>
          <w:shd w:val="clear" w:color="FDFDFD" w:fill="FDFDFD"/>
        </w:rPr>
        <w:fldChar w:fldCharType="separate"/>
      </w:r>
      <w:r w:rsidRPr="001E360B">
        <w:t xml:space="preserve">(Husband, O’Bannon </w:t>
      </w:r>
      <w:r w:rsidRPr="001E360B">
        <w:rPr>
          <w:i/>
          <w:iCs/>
        </w:rPr>
        <w:t>et al.</w:t>
      </w:r>
      <w:r w:rsidRPr="001E360B">
        <w:t xml:space="preserve">, 2021; O’Bannon </w:t>
      </w:r>
      <w:r w:rsidRPr="001E360B">
        <w:rPr>
          <w:i/>
          <w:iCs/>
        </w:rPr>
        <w:t>et al.</w:t>
      </w:r>
      <w:r w:rsidRPr="001E360B">
        <w:t>, 2022)</w:t>
      </w:r>
      <w:r w:rsidRPr="00F608AB">
        <w:rPr>
          <w:rFonts w:eastAsia="Arial"/>
          <w:bCs/>
          <w:shd w:val="clear" w:color="FDFDFD" w:fill="FDFDFD"/>
        </w:rPr>
        <w:fldChar w:fldCharType="end"/>
      </w:r>
      <w:r w:rsidRPr="004742BD">
        <w:rPr>
          <w:rFonts w:eastAsia="Arial"/>
          <w:bCs/>
          <w:shd w:val="clear" w:color="FDFDFD" w:fill="FDFDFD"/>
        </w:rPr>
        <w:t xml:space="preserve"> as low-Z materials require much longer exposure times (e.g. ~100 </w:t>
      </w:r>
      <w:proofErr w:type="spellStart"/>
      <w:r w:rsidRPr="004742BD">
        <w:rPr>
          <w:rFonts w:eastAsia="Arial"/>
          <w:bCs/>
          <w:shd w:val="clear" w:color="FDFDFD" w:fill="FDFDFD"/>
        </w:rPr>
        <w:t>ms</w:t>
      </w:r>
      <w:proofErr w:type="spellEnd"/>
      <w:r w:rsidRPr="004742BD">
        <w:rPr>
          <w:rFonts w:eastAsia="Arial"/>
          <w:bCs/>
          <w:shd w:val="clear" w:color="FDFDFD" w:fill="FDFDFD"/>
        </w:rPr>
        <w:t xml:space="preserve"> for H</w:t>
      </w:r>
      <w:r w:rsidRPr="004742BD">
        <w:rPr>
          <w:rFonts w:eastAsia="Arial"/>
          <w:bCs/>
          <w:shd w:val="clear" w:color="FDFDFD" w:fill="FDFDFD"/>
          <w:vertAlign w:val="subscript"/>
        </w:rPr>
        <w:t>2</w:t>
      </w:r>
      <w:r w:rsidRPr="004742BD">
        <w:rPr>
          <w:rFonts w:eastAsia="Arial"/>
          <w:bCs/>
          <w:shd w:val="clear" w:color="FDFDFD" w:fill="FDFDFD"/>
        </w:rPr>
        <w:t xml:space="preserve">O </w:t>
      </w:r>
      <w:r w:rsidRPr="00F608AB">
        <w:rPr>
          <w:rFonts w:eastAsia="Arial"/>
          <w:bCs/>
          <w:shd w:val="clear" w:color="FDFDFD" w:fill="FDFDFD"/>
        </w:rPr>
        <w:fldChar w:fldCharType="begin"/>
      </w:r>
      <w:r w:rsidR="006722F5">
        <w:rPr>
          <w:rFonts w:eastAsia="Arial"/>
          <w:bCs/>
          <w:shd w:val="clear" w:color="FDFDFD" w:fill="FDFDFD"/>
        </w:rPr>
        <w:instrText xml:space="preserve"> ADDIN ZOTERO_ITEM CSL_CITATION {"citationID":"cd5Y0Fuw","properties":{"formattedCitation":"(M\\uc0\\u233{}ndez {\\i{}et al.}, 2021)","plainCitation":"(Méndez et al., 2021)","noteIndex":0},"citationItems":[{"id":"k3ssTldU/gil9VOcU","uris":["http://zotero.org/users/local/uJBp8IoE/items/M7V8CNFC"],"uri":["http://zotero.org/users/local/uJBp8IoE/items/M7V8CNFC"],"itemData":{"id":126,"type":"article-journal","abstract":"We have studied the H2O ice VII–ice X phase transition at room temperature by performing three quasicontinuous synchrotron time-resolved x-ray-diffraction experiments in a dynamic diamond anvil cell, reaching pressures of 180 GPa. The dense pressure coverage of our volume data allows us to directly derive the bulk modulus for H2O over the entire pressure range. Our data document three major changes in compression behavior in the ranges of 35–40, 50–55, and 90–110 GPa, likely corresponding to the formation of pretransition dynamically disordered ice VII and ice X, and static ice X, respectively. Our results confirm that ice X has a very high bulk modulus.","container-title":"Physical Review B","DOI":"10.1103/PhysRevB.103.064104","issue":"6","journalAbbreviation":"Phys. Rev. B","note":"publisher: American Physical Society","page":"064104","source":"APS","title":"Bulk modulus of ${\\mathrm{H}}_{2}\\mathrm{O}$ across the ice VII--ice X transition measured by time-resolved x-ray diffraction in dynamic diamond anvil cell experiments","volume":"103","author":[{"family":"Méndez","given":"A. S. J."},{"family":"Trybel","given":"F."},{"family":"Husband","given":"R. J."},{"family":"Steinle-Neumann","given":"G."},{"family":"Liermann","given":"H.-P."},{"family":"Marquardt","given":"H."}],"issued":{"date-parts":[["2021",2,17]]}}}],"schema":"https://github.com/citation-style-language/schema/raw/master/csl-citation.json"} </w:instrText>
      </w:r>
      <w:r w:rsidRPr="00F608AB">
        <w:rPr>
          <w:rFonts w:eastAsia="Arial"/>
          <w:bCs/>
          <w:shd w:val="clear" w:color="FDFDFD" w:fill="FDFDFD"/>
        </w:rPr>
        <w:fldChar w:fldCharType="separate"/>
      </w:r>
      <w:r w:rsidRPr="004742BD">
        <w:t xml:space="preserve">(Méndez </w:t>
      </w:r>
      <w:r w:rsidRPr="004742BD">
        <w:rPr>
          <w:i/>
          <w:iCs/>
        </w:rPr>
        <w:t>et al.</w:t>
      </w:r>
      <w:r w:rsidRPr="004742BD">
        <w:t>, 2021)</w:t>
      </w:r>
      <w:r w:rsidRPr="00F608AB">
        <w:rPr>
          <w:rFonts w:eastAsia="Arial"/>
          <w:bCs/>
          <w:shd w:val="clear" w:color="FDFDFD" w:fill="FDFDFD"/>
        </w:rPr>
        <w:fldChar w:fldCharType="end"/>
      </w:r>
      <w:r w:rsidRPr="004742BD">
        <w:rPr>
          <w:rFonts w:eastAsia="Arial"/>
          <w:bCs/>
          <w:shd w:val="clear" w:color="FDFDFD" w:fill="FDFDFD"/>
        </w:rPr>
        <w:t xml:space="preserve"> and ~1 s for Li </w:t>
      </w:r>
      <w:r w:rsidRPr="00F608AB">
        <w:rPr>
          <w:rFonts w:eastAsia="Arial"/>
          <w:bCs/>
          <w:shd w:val="clear" w:color="FDFDFD" w:fill="FDFDFD"/>
        </w:rPr>
        <w:fldChar w:fldCharType="begin"/>
      </w:r>
      <w:r w:rsidR="006722F5">
        <w:rPr>
          <w:rFonts w:eastAsia="Arial"/>
          <w:bCs/>
          <w:shd w:val="clear" w:color="FDFDFD" w:fill="FDFDFD"/>
        </w:rPr>
        <w:instrText xml:space="preserve"> ADDIN ZOTERO_ITEM CSL_CITATION {"citationID":"q6kRidg3","properties":{"formattedCitation":"(Frost {\\i{}et al.}, 2019)","plainCitation":"(Frost et al., 2019)","noteIndex":0},"citationItems":[{"id":"k3ssTldU/FJFyHev7","uris":["http://zotero.org/users/local/uJBp8IoE/items/ERX7SAMN"],"uri":["http://zotero.org/users/local/uJBp8IoE/items/ERX7SAMN"],"itemData":{"id":317,"type":"article-journal","abstract":"We investigate the phase diagram of lithium at temperatures of 200 to 400 K, to pressures over 100 GPa using x-ray diffraction in diamond anvil cells, covering the region in which the melting curve is disputed. To overcome degradation of the diamond anvils by dense lithium we utilize a rapid compression scheme taking advantage of the high flux available at modern synchrotrons. Our results show the hR1 and cI16 phases to be stable to higher temperature than previously reported. The melting minima of lithium is found to be close to room temperature between 40 and 60 GPa, below which the solid is crystalline. Analysis of the stability fields of the cI16 and oC88 phases suggest the existence of a triple point between these and an undetermined solid phase at 60 GPa between 220 and 255 K.","container-title":"Physical Review Letters","DOI":"10.1103/PhysRevLett.123.065701","issue":"6","journalAbbreviation":"Phys. Rev. Lett.","note":"publisher: American Physical Society","page":"065701","source":"APS","title":"High-Pressure Melt Curve and Phase Diagram of Lithium","volume":"123","author":[{"family":"Frost","given":"Mungo"},{"family":"Kim","given":"Jongjin B."},{"family":"McBride","given":"Emma E."},{"family":"Peterson","given":"J. Ryan"},{"family":"Smith","given":"Jesse S."},{"family":"Sun","given":"Peihao"},{"family":"Glenzer","given":"Siegfried H."}],"issued":{"date-parts":[["2019",8,5]]}}}],"schema":"https://github.com/citation-style-language/schema/raw/master/csl-citation.json"} </w:instrText>
      </w:r>
      <w:r w:rsidRPr="00F608AB">
        <w:rPr>
          <w:rFonts w:eastAsia="Arial"/>
          <w:bCs/>
          <w:shd w:val="clear" w:color="FDFDFD" w:fill="FDFDFD"/>
        </w:rPr>
        <w:fldChar w:fldCharType="separate"/>
      </w:r>
      <w:r w:rsidRPr="004742BD">
        <w:t xml:space="preserve">(Frost </w:t>
      </w:r>
      <w:r w:rsidRPr="004742BD">
        <w:rPr>
          <w:i/>
          <w:iCs/>
        </w:rPr>
        <w:t>et al.</w:t>
      </w:r>
      <w:r w:rsidRPr="004742BD">
        <w:t>, 2019)</w:t>
      </w:r>
      <w:r w:rsidRPr="00F608AB">
        <w:rPr>
          <w:rFonts w:eastAsia="Arial"/>
          <w:bCs/>
          <w:shd w:val="clear" w:color="FDFDFD" w:fill="FDFDFD"/>
        </w:rPr>
        <w:fldChar w:fldCharType="end"/>
      </w:r>
      <w:r w:rsidRPr="004742BD">
        <w:rPr>
          <w:rFonts w:eastAsia="Arial"/>
          <w:bCs/>
          <w:shd w:val="clear" w:color="FDFDFD" w:fill="FDFDFD"/>
        </w:rPr>
        <w:t>).</w:t>
      </w:r>
    </w:p>
    <w:p w14:paraId="796CEE66" w14:textId="6790C508" w:rsidR="00A20AFF" w:rsidRPr="00511EDF" w:rsidRDefault="00A20AFF" w:rsidP="00A20AFF">
      <w:pPr>
        <w:pStyle w:val="IUCrbodytext"/>
        <w:rPr>
          <w:rFonts w:eastAsia="Arial"/>
          <w:bCs/>
          <w:shd w:val="clear" w:color="FDFDFD" w:fill="FDFDFD"/>
        </w:rPr>
      </w:pPr>
      <w:r>
        <w:rPr>
          <w:rFonts w:eastAsia="Arial"/>
          <w:bCs/>
          <w:shd w:val="clear" w:color="FDFDFD" w:fill="FDFDFD"/>
        </w:rPr>
        <w:t>The ability to</w:t>
      </w:r>
      <w:r w:rsidRPr="000C3BCF">
        <w:rPr>
          <w:rFonts w:eastAsia="Arial"/>
          <w:bCs/>
          <w:shd w:val="clear" w:color="FDFDFD" w:fill="FDFDFD"/>
        </w:rPr>
        <w:t xml:space="preserve"> collect meaningful data </w:t>
      </w:r>
      <w:r>
        <w:rPr>
          <w:rFonts w:eastAsia="Arial"/>
          <w:bCs/>
          <w:shd w:val="clear" w:color="FDFDFD" w:fill="FDFDFD"/>
        </w:rPr>
        <w:t xml:space="preserve">at strain rates above </w:t>
      </w:r>
      <m:oMath>
        <m:acc>
          <m:accPr>
            <m:chr m:val="̇"/>
            <m:ctrlPr>
              <w:rPr>
                <w:rFonts w:ascii="Cambria Math" w:eastAsia="Arial" w:hAnsi="Cambria Math"/>
                <w:i/>
                <w:szCs w:val="22"/>
                <w:shd w:val="clear" w:color="FDFDFD" w:fill="FDFDFD"/>
              </w:rPr>
            </m:ctrlPr>
          </m:accPr>
          <m:e>
            <m:r>
              <w:rPr>
                <w:rFonts w:ascii="Cambria Math" w:eastAsia="Arial" w:hAnsi="Cambria Math"/>
                <w:szCs w:val="22"/>
                <w:shd w:val="clear" w:color="FDFDFD" w:fill="FDFDFD"/>
              </w:rPr>
              <m:t>ε</m:t>
            </m:r>
          </m:e>
        </m:acc>
      </m:oMath>
      <w:r>
        <w:rPr>
          <w:rFonts w:eastAsia="Arial"/>
          <w:szCs w:val="22"/>
          <w:shd w:val="clear" w:color="FDFDFD" w:fill="FDFDFD"/>
        </w:rPr>
        <w:t xml:space="preserve"> </w:t>
      </w:r>
      <w:r>
        <w:rPr>
          <w:rFonts w:eastAsia="Arial"/>
          <w:bCs/>
          <w:shd w:val="clear" w:color="FDFDFD" w:fill="FDFDFD"/>
        </w:rPr>
        <w:t>~ 10</w:t>
      </w:r>
      <w:r w:rsidRPr="00FC3F50">
        <w:rPr>
          <w:rFonts w:eastAsia="Arial"/>
          <w:bCs/>
          <w:shd w:val="clear" w:color="FDFDFD" w:fill="FDFDFD"/>
          <w:vertAlign w:val="superscript"/>
        </w:rPr>
        <w:t>-</w:t>
      </w:r>
      <w:r w:rsidRPr="00E80328">
        <w:rPr>
          <w:rFonts w:eastAsia="Arial"/>
          <w:bCs/>
          <w:shd w:val="clear" w:color="FDFDFD" w:fill="FDFDFD"/>
          <w:vertAlign w:val="superscript"/>
        </w:rPr>
        <w:t>1</w:t>
      </w:r>
      <w:r>
        <w:rPr>
          <w:rFonts w:eastAsia="Arial"/>
          <w:bCs/>
          <w:shd w:val="clear" w:color="FDFDFD" w:fill="FDFDFD"/>
        </w:rPr>
        <w:t xml:space="preserve"> s</w:t>
      </w:r>
      <w:r w:rsidRPr="00E80328">
        <w:rPr>
          <w:rFonts w:eastAsia="Arial"/>
          <w:bCs/>
          <w:shd w:val="clear" w:color="FDFDFD" w:fill="FDFDFD"/>
          <w:vertAlign w:val="superscript"/>
        </w:rPr>
        <w:t>-1</w:t>
      </w:r>
      <w:r>
        <w:rPr>
          <w:rFonts w:eastAsia="Arial"/>
          <w:bCs/>
          <w:shd w:val="clear" w:color="FDFDFD" w:fill="FDFDFD"/>
        </w:rPr>
        <w:t xml:space="preserve"> requires</w:t>
      </w:r>
      <w:r w:rsidRPr="000C3BCF">
        <w:rPr>
          <w:rFonts w:eastAsia="Arial"/>
          <w:bCs/>
          <w:shd w:val="clear" w:color="FDFDFD" w:fill="FDFDFD"/>
        </w:rPr>
        <w:t xml:space="preserve"> access to faster X-ray diagnostics</w:t>
      </w:r>
      <w:r>
        <w:rPr>
          <w:rFonts w:eastAsia="Arial"/>
          <w:bCs/>
          <w:shd w:val="clear" w:color="FDFDFD" w:fill="FDFDFD"/>
        </w:rPr>
        <w:t xml:space="preserve"> </w:t>
      </w:r>
      <w:r w:rsidRPr="000C3BCF">
        <w:rPr>
          <w:rFonts w:eastAsia="Arial"/>
          <w:bCs/>
          <w:shd w:val="clear" w:color="FDFDFD" w:fill="FDFDFD"/>
        </w:rPr>
        <w:t>such as those available at the</w:t>
      </w:r>
      <w:r>
        <w:rPr>
          <w:rFonts w:eastAsia="Arial"/>
          <w:bCs/>
          <w:shd w:val="clear" w:color="FDFDFD" w:fill="FDFDFD"/>
        </w:rPr>
        <w:t xml:space="preserve"> European XFEL</w:t>
      </w:r>
      <w:r w:rsidRPr="000C3BCF">
        <w:rPr>
          <w:rFonts w:eastAsia="Arial"/>
          <w:bCs/>
          <w:shd w:val="clear" w:color="FDFDFD" w:fill="FDFDFD"/>
        </w:rPr>
        <w:t>.</w:t>
      </w:r>
      <w:r>
        <w:rPr>
          <w:rFonts w:eastAsia="Arial"/>
          <w:bCs/>
          <w:shd w:val="clear" w:color="FDFDFD" w:fill="FDFDFD"/>
        </w:rPr>
        <w:t xml:space="preserve"> The unique time structure of European XFEL, in which a series of intense, ultrashort timescale (&lt;50 fs) X-ray pulses are produced at repetition rates up to 4.5 MHz, offers the potential to study material behaviour in a ≤</w:t>
      </w:r>
      <w:r w:rsidRPr="00A5108E">
        <w:rPr>
          <w:rFonts w:eastAsia="Arial"/>
          <w:bCs/>
          <w:shd w:val="clear" w:color="FDFDFD" w:fill="FDFDFD"/>
        </w:rPr>
        <w:t>550</w:t>
      </w:r>
      <w:r>
        <w:rPr>
          <w:rFonts w:eastAsia="Arial"/>
          <w:bCs/>
          <w:shd w:val="clear" w:color="FDFDFD" w:fill="FDFDFD"/>
        </w:rPr>
        <w:t xml:space="preserve"> µs time window. This pulse train length is well suited to compression timescales achievable with current </w:t>
      </w:r>
      <w:proofErr w:type="spellStart"/>
      <w:r>
        <w:rPr>
          <w:rFonts w:eastAsia="Arial"/>
          <w:bCs/>
          <w:shd w:val="clear" w:color="FDFDFD" w:fill="FDFDFD"/>
        </w:rPr>
        <w:t>dDAC</w:t>
      </w:r>
      <w:proofErr w:type="spellEnd"/>
      <w:r>
        <w:rPr>
          <w:rFonts w:eastAsia="Arial"/>
          <w:bCs/>
          <w:shd w:val="clear" w:color="FDFDFD" w:fill="FDFDFD"/>
        </w:rPr>
        <w:t xml:space="preserve"> technology (≥340 µs), and the spacing between pulses (222 ns, 444 ns, 888 ns, etc) provides the required time resolution to pinpoint phase boundaries within ~0.1 </w:t>
      </w:r>
      <w:proofErr w:type="spellStart"/>
      <w:r>
        <w:rPr>
          <w:rFonts w:eastAsia="Arial"/>
          <w:bCs/>
          <w:shd w:val="clear" w:color="FDFDFD" w:fill="FDFDFD"/>
        </w:rPr>
        <w:t>GPa</w:t>
      </w:r>
      <w:proofErr w:type="spellEnd"/>
      <w:r>
        <w:rPr>
          <w:rFonts w:eastAsia="Arial"/>
          <w:bCs/>
          <w:shd w:val="clear" w:color="FDFDFD" w:fill="FDFDFD"/>
        </w:rPr>
        <w:t xml:space="preserve">. The European XFEL bunch structure has previously been used to study DAC compressed samples under dynamic temperature conditions using the DAC platform in interaction chamber 2 (IC2) </w:t>
      </w:r>
      <w:r>
        <w:rPr>
          <w:rFonts w:eastAsia="Arial"/>
          <w:bCs/>
          <w:shd w:val="clear" w:color="FDFDFD" w:fill="FDFDFD"/>
        </w:rPr>
        <w:fldChar w:fldCharType="begin"/>
      </w:r>
      <w:r>
        <w:rPr>
          <w:rFonts w:eastAsia="Arial"/>
          <w:bCs/>
          <w:shd w:val="clear" w:color="FDFDFD" w:fill="FDFDFD"/>
        </w:rPr>
        <w:instrText xml:space="preserve"> ADDIN ZOTERO_ITEM CSL_CITATION {"citationID":"YjM0x7zf","properties":{"formattedCitation":"(Liermann {\\i{}et al.}, 2021)","plainCitation":"(Liermann et al., 2021)","noteIndex":0},"citationItems":[{"id":161,"uris":["http://zotero.org/users/local/dwaXvkNj/items/AB6562ZR"],"uri":["http://zotero.org/users/local/dwaXvkNj/items/AB6562ZR"],"itemData":{"id":161,"type":"article-journal","title":"Novel experimental setup for megahertz X-ray diffraction in a diamond anvil cell at the High Energy Density (HED) instrument of the European X-ray Free-Electron Laser (EuXFEL)","container-title":"Journal of Synchrotron Radiation","page":"688-706","volume":"28","issue":"3","source":"scripts.iucr.org","abstract":"The high-precision X-ray diffraction (XRD) setup for work with diamond anvil cells (DACs) in Interaction Chamber 2 of the High Energy Density (HED) instrument of the European X-ray Free-Electron Laser is described.","DOI":"10.1107/S1600577521002551","ISSN":"1600-5775","journalAbbreviation":"J. Synchrotron Rad.","language":"en","author":[{"family":"Liermann","given":"H. P."},{"family":"Konôpková","given":"Z."},{"family":"Appel","given":"K."},{"family":"Prescher","given":"C."},{"family":"Schropp","given":"A."},{"family":"Cerantola","given":"V."},{"family":"Husband","given":"R. J."},{"family":"McHardy","given":"J. D."},{"family":"McMahon","given":"M. I."},{"family":"McWilliams","given":"R. S."},{"family":"Pépin","given":"C. M."},{"family":"Mainberger","given":"J."},{"family":"Roeper","given":"M."},{"family":"Berghäuser","given":"A."},{"family":"Damker","given":"H."},{"family":"Talkovski","given":"P."},{"family":"Foese","given":"M."},{"family":"Kujala","given":"N."},{"family":"Ball","given":"O. B."},{"family":"Baron","given":"M. A."},{"family":"Briggs","given":"R."},{"family":"Bykov","given":"M."},{"family":"Bykova","given":"E."},{"family":"Chantel","given":"J."},{"family":"Coleman","given":"A. L."},{"family":"Cynn","given":"H."},{"family":"Dattelbaum","given":"D."},{"family":"Dresselhaus-Marais","given":"L. E."},{"family":"Eggert","given":"J. H."},{"family":"Ehm","given":"L."},{"family":"Evans","given":"W. J."},{"family":"Fiquet","given":"G."},{"family":"Frost","given":"M."},{"family":"Glazyrin","given":"K."},{"family":"Goncharov","given":"A. F."},{"family":"Hwang","given":"H."},{"family":"Jenei","given":"Z."},{"family":"Kim","given":"J.-Y."},{"family":"Langenhorst","given":"F."},{"family":"Lee","given":"Y."},{"family":"Makita","given":"M."},{"family":"Marquardt","given":"H."},{"family":"McBride","given":"E. E."},{"family":"Merkel","given":"S."},{"family":"Morard","given":"G."},{"family":"O'Bannon","given":"E. F."},{"family":"Otzen","given":"C."},{"family":"Pace","given":"E. J."},{"family":"Pelka","given":"A."},{"family":"Pigott","given":"J. S."},{"family":"Prakapenka","given":"V. B."},{"family":"Redmer","given":"R."},{"family":"Sanchez-Valle","given":"C."},{"family":"Schoelmerich","given":"M."},{"family":"Speziale","given":"S."},{"family":"Spiekermann","given":"G."},{"family":"Sturtevant","given":"B. T."},{"family":"Toleikis","given":"S."},{"family":"Velisavljevic","given":"N."},{"family":"Wilke","given":"M."},{"family":"Yoo","given":"C.-S."},{"family":"Baehtz","given":"C."},{"family":"Zastrau","given":"U."},{"family":"Strohm","given":"C."}],"issued":{"date-parts":[["2021",5,1]]}}}],"schema":"https://github.com/citation-style-language/schema/raw/master/csl-citation.json"} </w:instrText>
      </w:r>
      <w:r>
        <w:rPr>
          <w:rFonts w:eastAsia="Arial"/>
          <w:bCs/>
          <w:shd w:val="clear" w:color="FDFDFD" w:fill="FDFDFD"/>
        </w:rPr>
        <w:fldChar w:fldCharType="separate"/>
      </w:r>
      <w:r w:rsidRPr="001E360B">
        <w:t xml:space="preserve">(Liermann </w:t>
      </w:r>
      <w:r w:rsidRPr="001E360B">
        <w:rPr>
          <w:i/>
          <w:iCs/>
        </w:rPr>
        <w:t>et al.</w:t>
      </w:r>
      <w:r w:rsidRPr="001E360B">
        <w:t>, 2021)</w:t>
      </w:r>
      <w:r>
        <w:rPr>
          <w:rFonts w:eastAsia="Arial"/>
          <w:bCs/>
          <w:shd w:val="clear" w:color="FDFDFD" w:fill="FDFDFD"/>
        </w:rPr>
        <w:fldChar w:fldCharType="end"/>
      </w:r>
      <w:r>
        <w:rPr>
          <w:rFonts w:eastAsia="Arial"/>
          <w:bCs/>
          <w:shd w:val="clear" w:color="FDFDFD" w:fill="FDFDFD"/>
        </w:rPr>
        <w:t xml:space="preserve"> at the High Energy Density (HED) instrument </w:t>
      </w:r>
      <w:r>
        <w:rPr>
          <w:rFonts w:eastAsia="Arial"/>
          <w:bCs/>
          <w:shd w:val="clear" w:color="FDFDFD" w:fill="FDFDFD"/>
        </w:rPr>
        <w:fldChar w:fldCharType="begin"/>
      </w:r>
      <w:r>
        <w:rPr>
          <w:rFonts w:eastAsia="Arial"/>
          <w:bCs/>
          <w:shd w:val="clear" w:color="FDFDFD" w:fill="FDFDFD"/>
        </w:rPr>
        <w:instrText xml:space="preserve"> ADDIN ZOTERO_ITEM CSL_CITATION {"citationID":"8smZDyv0","properties":{"formattedCitation":"(Zastrau {\\i{}et al.}, 2021)","plainCitation":"(Zastrau et al., 2021)","noteIndex":0},"citationItems":[{"id":46,"uris":["http://zotero.org/users/local/dwaXvkNj/items/TNAK7RTH"],"uri":["http://zotero.org/users/local/dwaXvkNj/items/TNAK7RTH"],"itemData":{"id":46,"type":"article-journal","title":"The High Energy Density Scientific Instrument at the European XFEL","container-title":"Journal of Synchrotron Radiation","page":"1393-1416","volume":"28","issue":"5","source":"onlinelibrary.wiley.com","abstract":"The unique parameters of the European XFEL enable novel and groundbreaking experiments in matter at extreme conditions at the High Energy Density (HED) scientific instrument. The performance of the HED instrument during its first two years of operation, its scientific remit, as well as ongoing installations towards full operation are presented.","DOI":"10.1107/S1600577521007335","ISSN":"1600-5775","journalAbbreviation":"J. Synchrotron Rad.","language":"en","author":[{"family":"Zastrau","given":"U."},{"family":"Appel","given":"K."},{"family":"Baehtz","given":"C."},{"family":"Baehr","given":"O."},{"family":"Batchelor","given":"L."},{"family":"Berghäuser","given":"A."},{"family":"Banjafar","given":"M."},{"family":"Brambrink","given":"E."},{"family":"Cerantola","given":"V."},{"family":"Cowan","given":"T. E."},{"family":"Damker","given":"H."},{"family":"Dietrich","given":"S."},{"family":"Di Dio Cafiso","given":"S."},{"family":"Dreyer","given":"J."},{"family":"Engel","given":"H.-O."},{"family":"Feldmann","given":"T."},{"family":"Findeisen","given":"S."},{"family":"Foese","given":"M."},{"family":"Fulla-Marsa","given":"D."},{"family":"Göde","given":"S."},{"family":"Hassan","given":"M."},{"family":"Hauser","given":"J."},{"family":"Herrmannsdörfer","given":"T."},{"family":"Höppner","given":"H."},{"family":"Kaa","given":"J."},{"family":"Kaever","given":"P."},{"family":"Knöfel","given":"K."},{"family":"Konôpková","given":"Z."},{"family":"Laso García","given":"A."},{"family":"Liermann","given":"H.-P."},{"family":"Mainberger","given":"J."},{"family":"Makita","given":"M."},{"family":"Martens","given":"E.-C."},{"family":"McBride","given":"E. E."},{"family":"Möller","given":"D."},{"family":"Nakatsutsumi","given":"M."},{"family":"Pelka","given":"A."},{"family":"Plueckthun","given":"C."},{"family":"Prescher","given":"C."},{"family":"Preston","given":"T. R."},{"family":"Röper","given":"M."},{"family":"Schmidt","given":"A."},{"family":"Seidel","given":"W."},{"family":"Schwinkendorf","given":"J.-P."},{"family":"Schoelmerich","given":"M. O."},{"family":"Schramm","given":"U."},{"family":"Schropp","given":"A."},{"family":"Strohm","given":"C."},{"family":"Sukharnikov","given":"K."},{"family":"Talkovski","given":"P."},{"family":"Thorpe","given":"I."},{"family":"Toncian","given":"M."},{"family":"Toncian","given":"T."},{"family":"Wollenweber","given":"L."},{"family":"Yamamoto","given":"Sh"},{"family":"Tschentscher","given":"T."}],"issued":{"date-parts":[["2021",9,1]]}}}],"schema":"https://github.com/citation-style-language/schema/raw/master/csl-citation.json"} </w:instrText>
      </w:r>
      <w:r>
        <w:rPr>
          <w:rFonts w:eastAsia="Arial"/>
          <w:bCs/>
          <w:shd w:val="clear" w:color="FDFDFD" w:fill="FDFDFD"/>
        </w:rPr>
        <w:fldChar w:fldCharType="separate"/>
      </w:r>
      <w:r w:rsidRPr="00382466">
        <w:t xml:space="preserve">(Zastrau </w:t>
      </w:r>
      <w:r w:rsidRPr="00382466">
        <w:rPr>
          <w:i/>
          <w:iCs/>
        </w:rPr>
        <w:t>et al.</w:t>
      </w:r>
      <w:r w:rsidRPr="00382466">
        <w:t>, 2021)</w:t>
      </w:r>
      <w:r>
        <w:rPr>
          <w:rFonts w:eastAsia="Arial"/>
          <w:bCs/>
          <w:shd w:val="clear" w:color="FDFDFD" w:fill="FDFDFD"/>
        </w:rPr>
        <w:fldChar w:fldCharType="end"/>
      </w:r>
      <w:r>
        <w:rPr>
          <w:rFonts w:eastAsia="Arial"/>
          <w:bCs/>
          <w:shd w:val="clear" w:color="FDFDFD" w:fill="FDFDFD"/>
        </w:rPr>
        <w:t>, where s</w:t>
      </w:r>
      <w:r w:rsidRPr="004742BD">
        <w:rPr>
          <w:rFonts w:eastAsia="Arial"/>
          <w:bCs/>
          <w:shd w:val="clear" w:color="FDFDFD" w:fill="FDFDFD"/>
        </w:rPr>
        <w:t>equential</w:t>
      </w:r>
      <w:r>
        <w:rPr>
          <w:rFonts w:eastAsia="Arial"/>
          <w:bCs/>
          <w:shd w:val="clear" w:color="FDFDFD" w:fill="FDFDFD"/>
        </w:rPr>
        <w:t xml:space="preserve"> </w:t>
      </w:r>
      <w:r w:rsidRPr="004742BD">
        <w:rPr>
          <w:rFonts w:eastAsia="Arial"/>
          <w:bCs/>
          <w:shd w:val="clear" w:color="FDFDFD" w:fill="FDFDFD"/>
        </w:rPr>
        <w:t>X-ray pulses</w:t>
      </w:r>
      <w:r>
        <w:rPr>
          <w:rFonts w:eastAsia="Arial"/>
          <w:bCs/>
          <w:shd w:val="clear" w:color="FDFDFD" w:fill="FDFDFD"/>
        </w:rPr>
        <w:t xml:space="preserve"> were used to</w:t>
      </w:r>
      <w:r w:rsidRPr="004742BD">
        <w:rPr>
          <w:rFonts w:eastAsia="Arial"/>
          <w:bCs/>
          <w:shd w:val="clear" w:color="FDFDFD" w:fill="FDFDFD"/>
        </w:rPr>
        <w:t xml:space="preserve"> probe the high temperature state induced by the previous pulse</w:t>
      </w:r>
      <w:r>
        <w:rPr>
          <w:rFonts w:eastAsia="Arial"/>
          <w:bCs/>
          <w:shd w:val="clear" w:color="FDFDFD" w:fill="FDFDFD"/>
        </w:rPr>
        <w:t xml:space="preserve"> in a pump-probe fashion </w:t>
      </w:r>
      <w:r w:rsidRPr="00F608AB">
        <w:rPr>
          <w:rFonts w:eastAsia="Arial"/>
          <w:bCs/>
          <w:shd w:val="clear" w:color="FDFDFD" w:fill="FDFDFD"/>
        </w:rPr>
        <w:fldChar w:fldCharType="begin"/>
      </w:r>
      <w:r w:rsidR="00E456A8">
        <w:rPr>
          <w:rFonts w:eastAsia="Arial"/>
          <w:bCs/>
          <w:shd w:val="clear" w:color="FDFDFD" w:fill="FDFDFD"/>
        </w:rPr>
        <w:instrText xml:space="preserve"> ADDIN ZOTERO_ITEM CSL_CITATION {"citationID":"wYrd1q0W","properties":{"formattedCitation":"(Meza-Galvez {\\i{}et al.}, 2020; Liermann {\\i{}et al.}, 2021; Hwang {\\i{}et al.}, 2021)","plainCitation":"(Meza-Galvez et al., 2020; Liermann et al., 2021; Hwang et al., 2021)","noteIndex":0},"citationItems":[{"id":40,"uris":["http://zotero.org/users/local/dwaXvkNj/items/H5U8RKL2"],"uri":["http://zotero.org/users/local/dwaXvkNj/items/H5U8RKL2"],"itemData":{"id":40,"type":"article-journal","title":"Thermomechanical response of thickly tamped targets and diamond anvil cells under pulsed hard x-ray irradiation","container-title":"Journal of Applied Physics","page":"195902","volume":"127","issue":"19","source":"aip.scitation.org (Atypon)","abstract":"In the laboratory study of extreme conditions of temperature and density, the exposure of matter to high intensity radiation sources has been of central importance. Here, we interrogate the performance of multi-layered targets in experiments involving high intensity, hard x-ray irradiation, motivated by the advent of extremely high brightness hard x-ray sources, such as free electron lasers and 4th-generation synchrotron facilities. Intense hard x-ray beams can deliver significant energy in targets having thick x-ray transparent layers (tampers) around samples of interest for the study of novel states of matter and materials’ dynamics. Heated-state lifetimes in such targets can approach the microsecond level, regardless of radiation pulse duration, enabling the exploration of conditions of local thermal and thermodynamic equilibrium at extreme temperature in solid density matter. The thermal and mechanical responses of such thick layered targets following x-ray heating, including hydrodynamic relaxation and heat flow on picosecond to millisecond timescales, are modeled using radiation hydrocode simulation, finite element analysis, and thermodynamic calculations. Assessing the potential for target survival over one or more exposures and resistance to damage arising from heating and resulting mechanical stresses, this study doubles as an investigation into the performance of diamond anvil high pressure cells under high x-ray fluences. Long used in conjunction with synchrotron x-ray radiation and high power optical lasers, the strong confinement afforded by such cells suggests novel applications at emerging high intensity x-ray facilities and new routes to studying thermodynamic equilibrium states of warm, very dense matter.","DOI":"10.1063/1.5141360","ISSN":"0021-8979","journalAbbreviation":"J. Appl. Phys.","author":[{"family":"Meza-Galvez","given":"J."},{"family":"Gomez-Perez","given":"N."},{"family":"Marshall","given":"A. S."},{"family":"Coleman","given":"A. L."},{"family":"Appel","given":"K."},{"family":"Liermann","given":"H. P."},{"family":"McMahon","given":"M. I."},{"family":"Konôpková","given":"Z."},{"family":"McWilliams","given":"R. S."}],"issued":{"date-parts":[["2020",5,21]]}}},{"id":161,"uris":["http://zotero.org/users/local/dwaXvkNj/items/AB6562ZR"],"uri":["http://zotero.org/users/local/dwaXvkNj/items/AB6562ZR"],"itemData":{"id":161,"type":"article-journal","title":"Novel experimental setup for megahertz X-ray diffraction in a diamond anvil cell at the High Energy Density (HED) instrument of the European X-ray Free-Electron Laser (EuXFEL)","container-title":"Journal of Synchrotron Radiation","page":"688-706","volume":"28","issue":"3","source":"scripts.iucr.org","abstract":"The high-precision X-ray diffraction (XRD) setup for work with diamond anvil cells (DACs) in Interaction Chamber 2 of the High Energy Density (HED) instrument of the European X-ray Free-Electron Laser is described.","DOI":"10.1107/S1600577521002551","ISSN":"1600-5775","journalAbbreviation":"J. Synchrotron Rad.","language":"en","author":[{"family":"Liermann","given":"H. P."},{"family":"Konôpková","given":"Z."},{"family":"Appel","given":"K."},{"family":"Prescher","given":"C."},{"family":"Schropp","given":"A."},{"family":"Cerantola","given":"V."},{"family":"Husband","given":"R. J."},{"family":"McHardy","given":"J. D."},{"family":"McMahon","given":"M. I."},{"family":"McWilliams","given":"R. S."},{"family":"Pépin","given":"C. M."},{"family":"Mainberger","given":"J."},{"family":"Roeper","given":"M."},{"family":"Berghäuser","given":"A."},{"family":"Damker","given":"H."},{"family":"Talkovski","given":"P."},{"family":"Foese","given":"M."},{"family":"Kujala","given":"N."},{"family":"Ball","given":"O. B."},{"family":"Baron","given":"M. A."},{"family":"Briggs","given":"R."},{"family":"Bykov","given":"M."},{"family":"Bykova","given":"E."},{"family":"Chantel","given":"J."},{"family":"Coleman","given":"A. L."},{"family":"Cynn","given":"H."},{"family":"Dattelbaum","given":"D."},{"family":"Dresselhaus-Marais","given":"L. E."},{"family":"Eggert","given":"J. H."},{"family":"Ehm","given":"L."},{"family":"Evans","given":"W. J."},{"family":"Fiquet","given":"G."},{"family":"Frost","given":"M."},{"family":"Glazyrin","given":"K."},{"family":"Goncharov","given":"A. F."},{"family":"Hwang","given":"H."},{"family":"Jenei","given":"Z."},{"family":"Kim","given":"J.-Y."},{"family":"Langenhorst","given":"F."},{"family":"Lee","given":"Y."},{"family":"Makita","given":"M."},{"family":"Marquardt","given":"H."},{"family":"McBride","given":"E. E."},{"family":"Merkel","given":"S."},{"family":"Morard","given":"G."},{"family":"O'Bannon","given":"E. F."},{"family":"Otzen","given":"C."},{"family":"Pace","given":"E. J."},{"family":"Pelka","given":"A."},{"family":"Pigott","given":"J. S."},{"family":"Prakapenka","given":"V. B."},{"family":"Redmer","given":"R."},{"family":"Sanchez-Valle","given":"C."},{"family":"Schoelmerich","given":"M."},{"family":"Speziale","given":"S."},{"family":"Spiekermann","given":"G."},{"family":"Sturtevant","given":"B. T."},{"family":"Toleikis","given":"S."},{"family":"Velisavljevic","given":"N."},{"family":"Wilke","given":"M."},{"family":"Yoo","given":"C.-S."},{"family":"Baehtz","given":"C."},{"family":"Zastrau","given":"U."},{"family":"Strohm","given":"C."}],"issued":{"date-parts":[["2021",5,1]]}}},{"id":"4t3SN9wc/6bOuXtc2","uris":["http://zotero.org/users/local/uJBp8IoE/items/QR4S6MQJ"],"uri":["http://zotero.org/users/local/uJBp8IoE/items/QR4S6MQJ"],"itemData":{"id":244,"type":"article-journal","abstract":"The ultrafast synthesis of ε-Fe3N1+x in a diamond-anvil cell (DAC) from Fe and N2 under pressure was observed using serial exposures of an X-ray free electron laser (XFEL). When the sample at 5 GPa was irradiated by a pulse train separated by 443 ns, the estimated sample temperature at the delay time was above 1400 K, confirmed by in situ transformation of α- to γ-iron. Ultimately, the Fe and N2 reacted uniformly throughout the beam path to form Fe3N1.33, as deduced from its established equation of state (EOS). We thus demonstrate that the activation energy provided by intense X-ray exposures in an XFEL can be coupled with the source time structure to enable exploration of the time-dependence of reactions under high-pressure conditions.","container-title":"The Journal of Physical Chemistry Letters","DOI":"10.1021/acs.jpclett.1c00150","issue":"12","journalAbbreviation":"J. Phys. Chem. Lett.","note":"publisher: American Chemical Society","page":"3246-3252","source":"ACS Publications","title":"X-ray Free Electron Laser-Induced Synthesis of ε-Iron Nitride at High Pressures","volume":"12","author":[{"family":"Hwang","given":"Huijeong"},{"family":"Kim","given":"Taehyun"},{"family":"Cynn","given":"Hyunchae"},{"family":"Vogt","given":"Thomas"},{"family":"Husband","given":"Rachel J."},{"family":"Appel","given":"Karen"},{"family":"Baehtz","given":"Carsten"},{"family":"Ball","given":"Orianna B."},{"family":"Baron","given":"Marzena A."},{"family":"Briggs","given":"Richard"},{"family":"Bykov","given":"Maxim"},{"family":"Bykova","given":"Elena"},{"family":"Cerantola","given":"Valerio"},{"family":"Chantel","given":"Julien"},{"family":"Coleman","given":"Amy L."},{"family":"Dattlebaum","given":"Dana"},{"family":"Dresselhaus-Marais","given":"Leora E."},{"family":"Eggert","given":"Jon H."},{"family":"Ehm","given":"Lars"},{"family":"Evans","given":"William J."},{"family":"Fiquet","given":"Guillaume"},{"family":"Frost","given":"Mungo"},{"family":"Glazyrin","given":"Konstantin"},{"family":"Goncharov","given":"Alexander F."},{"family":"Jenei","given":"Zsolt"},{"family":"Kim","given":"Jaeyong"},{"family":"Konôpková","given":"Zuzana"},{"family":"Mainberger","given":"Jona"},{"family":"Makita","given":"Mikako"},{"family":"Marquardt","given":"Hauke"},{"family":"McBride","given":"Emma E."},{"family":"McHardy","given":"James D."},{"family":"Merkel","given":"Sébastien"},{"family":"Morard","given":"Guillaume"},{"family":"O’Bannon","given":"Earl F."},{"family":"Otzen","given":"Christoph"},{"family":"Pace","given":"Edward J."},{"family":"Pelka","given":"Alexander"},{"family":"Pépin","given":"Charles M."},{"family":"Pigott","given":"Jeffrey S."},{"family":"Prakapenka","given":"Vitali B."},{"family":"Prescher","given":"Clemens"},{"family":"Redmer","given":"Ronald"},{"family":"Speziale","given":"Sergio"},{"family":"Spiekermann","given":"Georg"},{"family":"Strohm","given":"Cornelius"},{"family":"Sturtevant","given":"Blake T."},{"family":"Velisavljevic","given":"Nenad"},{"family":"Wilke","given":"Max"},{"family":"Yoo","given":"Choong-Shik"},{"family":"Zastrau","given":"Ulf"},{"family":"Liermann","given":"Hanns-Peter"},{"family":"McMahon","given":"Malcolm I."},{"family":"McWilliams","given":"R. Stewart"},{"family":"Lee","given":"Yongjae"}],"issued":{"date-parts":[["2021",4,1]]}}}],"schema":"https://github.com/citation-style-language/schema/raw/master/csl-citation.json"} </w:instrText>
      </w:r>
      <w:r w:rsidRPr="00F608AB">
        <w:rPr>
          <w:rFonts w:eastAsia="Arial"/>
          <w:bCs/>
          <w:shd w:val="clear" w:color="FDFDFD" w:fill="FDFDFD"/>
        </w:rPr>
        <w:fldChar w:fldCharType="separate"/>
      </w:r>
      <w:r w:rsidRPr="001E360B">
        <w:t xml:space="preserve">(Meza-Galvez </w:t>
      </w:r>
      <w:r w:rsidRPr="001E360B">
        <w:rPr>
          <w:i/>
          <w:iCs/>
        </w:rPr>
        <w:t>et al.</w:t>
      </w:r>
      <w:r w:rsidRPr="001E360B">
        <w:t xml:space="preserve">, 2020; Liermann </w:t>
      </w:r>
      <w:r w:rsidRPr="001E360B">
        <w:rPr>
          <w:i/>
          <w:iCs/>
        </w:rPr>
        <w:t>et al.</w:t>
      </w:r>
      <w:r w:rsidRPr="001E360B">
        <w:t xml:space="preserve">, 2021; Hwang </w:t>
      </w:r>
      <w:r w:rsidRPr="001E360B">
        <w:rPr>
          <w:i/>
          <w:iCs/>
        </w:rPr>
        <w:t>et al.</w:t>
      </w:r>
      <w:r w:rsidRPr="001E360B">
        <w:t>, 2021)</w:t>
      </w:r>
      <w:r w:rsidRPr="00F608AB">
        <w:rPr>
          <w:rFonts w:eastAsia="Arial"/>
          <w:bCs/>
          <w:shd w:val="clear" w:color="FDFDFD" w:fill="FDFDFD"/>
        </w:rPr>
        <w:fldChar w:fldCharType="end"/>
      </w:r>
      <w:r>
        <w:rPr>
          <w:rFonts w:eastAsia="Arial"/>
          <w:bCs/>
          <w:shd w:val="clear" w:color="FDFDFD" w:fill="FDFDFD"/>
        </w:rPr>
        <w:t xml:space="preserve">. However, these experiments did not have access to pulse-resolved XRD capabilities, </w:t>
      </w:r>
      <w:r w:rsidR="00065DBB">
        <w:rPr>
          <w:rFonts w:eastAsia="Arial"/>
          <w:bCs/>
          <w:shd w:val="clear" w:color="FDFDFD" w:fill="FDFDFD"/>
        </w:rPr>
        <w:t>but</w:t>
      </w:r>
      <w:r>
        <w:rPr>
          <w:rFonts w:eastAsia="Arial"/>
          <w:bCs/>
          <w:shd w:val="clear" w:color="FDFDFD" w:fill="FDFDFD"/>
        </w:rPr>
        <w:t xml:space="preserve"> consecutive </w:t>
      </w:r>
      <w:r>
        <w:rPr>
          <w:rStyle w:val="fontsize2"/>
        </w:rPr>
        <w:t>diffraction patterns</w:t>
      </w:r>
      <w:r w:rsidR="00065DBB">
        <w:rPr>
          <w:rStyle w:val="fontsize2"/>
        </w:rPr>
        <w:t xml:space="preserve"> of</w:t>
      </w:r>
      <w:r>
        <w:rPr>
          <w:rStyle w:val="fontsize2"/>
        </w:rPr>
        <w:t xml:space="preserve"> the pulse train were accumulated in a single image. </w:t>
      </w:r>
    </w:p>
    <w:p w14:paraId="6302B391" w14:textId="7B7B9899" w:rsidR="00A20AFF" w:rsidRPr="004742BD" w:rsidRDefault="00A20AFF" w:rsidP="00A20AFF">
      <w:pPr>
        <w:pStyle w:val="IUCrbodytext"/>
        <w:rPr>
          <w:rFonts w:eastAsia="Arial"/>
          <w:bCs/>
          <w:shd w:val="clear" w:color="FDFDFD" w:fill="FDFDFD"/>
        </w:rPr>
      </w:pPr>
      <w:r w:rsidRPr="004742BD">
        <w:rPr>
          <w:rFonts w:eastAsia="Arial"/>
          <w:bCs/>
          <w:shd w:val="clear" w:color="FDFDFD" w:fill="FDFDFD"/>
        </w:rPr>
        <w:t>Here, we describe</w:t>
      </w:r>
      <w:r>
        <w:rPr>
          <w:rFonts w:eastAsia="Arial"/>
          <w:bCs/>
          <w:shd w:val="clear" w:color="FDFDFD" w:fill="FDFDFD"/>
        </w:rPr>
        <w:t xml:space="preserve"> the integration of the latest generation of </w:t>
      </w:r>
      <w:proofErr w:type="spellStart"/>
      <w:r>
        <w:rPr>
          <w:rFonts w:eastAsia="Arial"/>
          <w:bCs/>
          <w:shd w:val="clear" w:color="FDFDFD" w:fill="FDFDFD"/>
        </w:rPr>
        <w:t>dDAC</w:t>
      </w:r>
      <w:proofErr w:type="spellEnd"/>
      <w:r>
        <w:rPr>
          <w:rFonts w:eastAsia="Arial"/>
          <w:bCs/>
          <w:shd w:val="clear" w:color="FDFDFD" w:fill="FDFDFD"/>
        </w:rPr>
        <w:t xml:space="preserve"> drivers into the DAC platform at the HED instrument. An </w:t>
      </w:r>
      <w:r>
        <w:rPr>
          <w:rFonts w:eastAsia="Arial"/>
        </w:rPr>
        <w:t>A</w:t>
      </w:r>
      <w:r w:rsidRPr="004948B3">
        <w:rPr>
          <w:rFonts w:eastAsia="Arial"/>
        </w:rPr>
        <w:t xml:space="preserve">daptive </w:t>
      </w:r>
      <w:r>
        <w:rPr>
          <w:rFonts w:eastAsia="Arial"/>
        </w:rPr>
        <w:t>G</w:t>
      </w:r>
      <w:r w:rsidRPr="004948B3">
        <w:rPr>
          <w:rFonts w:eastAsia="Arial"/>
        </w:rPr>
        <w:t xml:space="preserve">ain </w:t>
      </w:r>
      <w:r>
        <w:rPr>
          <w:rFonts w:eastAsia="Arial"/>
        </w:rPr>
        <w:t>I</w:t>
      </w:r>
      <w:r w:rsidRPr="004948B3">
        <w:rPr>
          <w:rFonts w:eastAsia="Arial"/>
        </w:rPr>
        <w:t xml:space="preserve">ntegrating </w:t>
      </w:r>
      <w:r>
        <w:rPr>
          <w:rFonts w:eastAsia="Arial"/>
        </w:rPr>
        <w:t>P</w:t>
      </w:r>
      <w:r w:rsidRPr="004948B3">
        <w:rPr>
          <w:rFonts w:eastAsia="Arial"/>
        </w:rPr>
        <w:t xml:space="preserve">ixel </w:t>
      </w:r>
      <w:r>
        <w:rPr>
          <w:rFonts w:eastAsia="Arial"/>
        </w:rPr>
        <w:t>D</w:t>
      </w:r>
      <w:r w:rsidRPr="004948B3">
        <w:rPr>
          <w:rFonts w:eastAsia="Arial"/>
        </w:rPr>
        <w:t xml:space="preserve">etector (AGIPD) </w:t>
      </w:r>
      <w:r w:rsidRPr="004948B3">
        <w:rPr>
          <w:rFonts w:eastAsia="Arial"/>
        </w:rPr>
        <w:fldChar w:fldCharType="begin"/>
      </w:r>
      <w:r>
        <w:rPr>
          <w:rFonts w:eastAsia="Arial"/>
        </w:rPr>
        <w:instrText xml:space="preserve"> ADDIN ZOTERO_ITEM CSL_CITATION {"citationID":"U26PUKUF","properties":{"formattedCitation":"(Allahgholi {\\i{}et al.}, 2019)","plainCitation":"(Allahgholi et al., 2019)","noteIndex":0},"citationItems":[{"id":137,"uris":["http://zotero.org/users/local/dwaXvkNj/items/TD76PYKN"],"uri":["http://zotero.org/users/local/dwaXvkNj/items/TD76PYKN"],"itemData":{"id":137,"type":"article-journal","title":"The Adaptive Gain Integrating Pixel Detector at the European XFEL","container-title":"Journal of Synchrotron Radiation","page":"74-82","volume":"26","issue":"1","source":"scripts.iucr.org","abstract":"A description of the 1 million pixel AGIPD system in use at the SPB beamline of the European XFEL is given.","DOI":"10.1107/S1600577518016077","ISSN":"1600-5775","journalAbbreviation":"J. Synchrotron Rad.","language":"en","author":[{"family":"Allahgholi","given":"A."},{"family":"Becker","given":"J."},{"family":"Delfs","given":"A."},{"family":"Dinapoli","given":"R."},{"family":"Goettlicher","given":"P."},{"family":"Greiffenberg","given":"D."},{"family":"Henrich","given":"B."},{"family":"Hirsemann","given":"H."},{"family":"Kuhn","given":"M."},{"family":"Klanner","given":"R."},{"family":"Klyuev","given":"A."},{"family":"Krueger","given":"H."},{"family":"Lange","given":"S."},{"family":"Laurus","given":"T."},{"family":"Marras","given":"A."},{"family":"Mezza","given":"D."},{"family":"Mozzanica","given":"A."},{"family":"Niemann","given":"M."},{"family":"Poehlsen","given":"J."},{"family":"Schwandt","given":"J."},{"family":"Sheviakov","given":"I."},{"family":"Shi","given":"X."},{"family":"Smoljanin","given":"S."},{"family":"Steffen","given":"L."},{"family":"Sztuk-Dambietz","given":"J."},{"family":"Trunk","given":"U."},{"family":"Xia","given":"Q."},{"family":"Zeribi","given":"M."},{"family":"Zhang","given":"J."},{"family":"Zimmer","given":"M."},{"family":"Schmitt","given":"B."},{"family":"Graafsma","given":"H."}],"issued":{"date-parts":[["2019",1,1]]}}}],"schema":"https://github.com/citation-style-language/schema/raw/master/csl-citation.json"} </w:instrText>
      </w:r>
      <w:r w:rsidRPr="004948B3">
        <w:rPr>
          <w:rFonts w:eastAsia="Arial"/>
        </w:rPr>
        <w:fldChar w:fldCharType="separate"/>
      </w:r>
      <w:r w:rsidRPr="00675998">
        <w:t xml:space="preserve">(Allahgholi </w:t>
      </w:r>
      <w:r w:rsidRPr="00675998">
        <w:rPr>
          <w:i/>
          <w:iCs/>
        </w:rPr>
        <w:t>et al.</w:t>
      </w:r>
      <w:r w:rsidRPr="00675998">
        <w:t>, 2019)</w:t>
      </w:r>
      <w:r w:rsidRPr="004948B3">
        <w:rPr>
          <w:rFonts w:eastAsia="Arial"/>
        </w:rPr>
        <w:fldChar w:fldCharType="end"/>
      </w:r>
      <w:r w:rsidRPr="004948B3">
        <w:rPr>
          <w:rFonts w:eastAsia="Arial"/>
        </w:rPr>
        <w:t xml:space="preserve"> </w:t>
      </w:r>
      <w:r>
        <w:rPr>
          <w:rFonts w:eastAsia="Arial"/>
        </w:rPr>
        <w:t xml:space="preserve">is used </w:t>
      </w:r>
      <w:r>
        <w:rPr>
          <w:rFonts w:eastAsia="Arial"/>
          <w:bCs/>
          <w:shd w:val="clear" w:color="FDFDFD" w:fill="FDFDFD"/>
        </w:rPr>
        <w:t>to collect</w:t>
      </w:r>
      <w:r w:rsidRPr="00F608AB">
        <w:rPr>
          <w:rFonts w:eastAsia="Arial"/>
          <w:bCs/>
          <w:shd w:val="clear" w:color="FDFDFD" w:fill="FDFDFD"/>
        </w:rPr>
        <w:t xml:space="preserve"> pulse-resolved XRD data </w:t>
      </w:r>
      <w:r>
        <w:rPr>
          <w:rFonts w:eastAsia="Arial"/>
          <w:bCs/>
          <w:shd w:val="clear" w:color="FDFDFD" w:fill="FDFDFD"/>
        </w:rPr>
        <w:t xml:space="preserve">from </w:t>
      </w:r>
      <w:proofErr w:type="spellStart"/>
      <w:r>
        <w:rPr>
          <w:rFonts w:eastAsia="Arial"/>
          <w:bCs/>
          <w:shd w:val="clear" w:color="FDFDFD" w:fill="FDFDFD"/>
        </w:rPr>
        <w:t>dDAC</w:t>
      </w:r>
      <w:proofErr w:type="spellEnd"/>
      <w:r>
        <w:rPr>
          <w:rFonts w:eastAsia="Arial"/>
          <w:bCs/>
          <w:shd w:val="clear" w:color="FDFDFD" w:fill="FDFDFD"/>
        </w:rPr>
        <w:t xml:space="preserve"> compressed samples </w:t>
      </w:r>
      <w:r w:rsidRPr="004742BD">
        <w:rPr>
          <w:rFonts w:eastAsia="Arial"/>
          <w:bCs/>
          <w:shd w:val="clear" w:color="FDFDFD" w:fill="FDFDFD"/>
        </w:rPr>
        <w:t>at the intra-train repetition rate</w:t>
      </w:r>
      <w:r>
        <w:rPr>
          <w:rFonts w:eastAsia="Arial"/>
          <w:bCs/>
          <w:shd w:val="clear" w:color="FDFDFD" w:fill="FDFDFD"/>
        </w:rPr>
        <w:t xml:space="preserve"> of the European XFEL, providing time-resolved structural information during compression/decompression of the sample. Results from the fast compression of gold (Au) are presented to illustrate how X-ray heating can be minimized even in high-Z systems</w:t>
      </w:r>
      <w:r w:rsidRPr="00F608AB">
        <w:rPr>
          <w:rFonts w:eastAsia="Arial"/>
          <w:bCs/>
          <w:shd w:val="clear" w:color="FDFDFD" w:fill="FDFDFD"/>
        </w:rPr>
        <w:t xml:space="preserve">, which is important for kinetic studies </w:t>
      </w:r>
      <w:r w:rsidR="00065DBB">
        <w:rPr>
          <w:rFonts w:eastAsia="Arial"/>
          <w:bCs/>
          <w:shd w:val="clear" w:color="FDFDFD" w:fill="FDFDFD"/>
        </w:rPr>
        <w:t>where</w:t>
      </w:r>
      <w:r w:rsidRPr="00F608AB">
        <w:rPr>
          <w:rFonts w:eastAsia="Arial"/>
          <w:bCs/>
          <w:shd w:val="clear" w:color="FDFDFD" w:fill="FDFDFD"/>
        </w:rPr>
        <w:t xml:space="preserve"> the </w:t>
      </w:r>
      <w:r w:rsidRPr="00227A3F">
        <w:rPr>
          <w:rFonts w:eastAsia="Arial"/>
          <w:bCs/>
          <w:i/>
          <w:shd w:val="clear" w:color="FDFDFD" w:fill="FDFDFD"/>
        </w:rPr>
        <w:t>P-T</w:t>
      </w:r>
      <w:r w:rsidRPr="00F608AB">
        <w:rPr>
          <w:rFonts w:eastAsia="Arial"/>
          <w:bCs/>
          <w:shd w:val="clear" w:color="FDFDFD" w:fill="FDFDFD"/>
        </w:rPr>
        <w:t xml:space="preserve"> path must be well </w:t>
      </w:r>
      <w:r>
        <w:rPr>
          <w:rFonts w:eastAsia="Arial"/>
          <w:bCs/>
          <w:shd w:val="clear" w:color="FDFDFD" w:fill="FDFDFD"/>
        </w:rPr>
        <w:t>constrained</w:t>
      </w:r>
      <w:r w:rsidRPr="00F608AB">
        <w:rPr>
          <w:rFonts w:eastAsia="Arial"/>
          <w:bCs/>
          <w:shd w:val="clear" w:color="FDFDFD" w:fill="FDFDFD"/>
        </w:rPr>
        <w:t>.</w:t>
      </w:r>
      <w:r>
        <w:rPr>
          <w:rFonts w:eastAsia="Arial"/>
          <w:bCs/>
          <w:shd w:val="clear" w:color="FDFDFD" w:fill="FDFDFD"/>
        </w:rPr>
        <w:t xml:space="preserve"> </w:t>
      </w:r>
      <w:r w:rsidRPr="004742BD">
        <w:rPr>
          <w:rFonts w:eastAsia="Arial"/>
          <w:bCs/>
          <w:shd w:val="clear" w:color="FDFDFD" w:fill="FDFDFD"/>
        </w:rPr>
        <w:t>We</w:t>
      </w:r>
      <w:r>
        <w:rPr>
          <w:rFonts w:eastAsia="Arial"/>
          <w:bCs/>
          <w:shd w:val="clear" w:color="FDFDFD" w:fill="FDFDFD"/>
        </w:rPr>
        <w:t xml:space="preserve"> also</w:t>
      </w:r>
      <w:r w:rsidRPr="004742BD">
        <w:rPr>
          <w:rFonts w:eastAsia="Arial"/>
          <w:bCs/>
          <w:shd w:val="clear" w:color="FDFDFD" w:fill="FDFDFD"/>
        </w:rPr>
        <w:t xml:space="preserve"> discuss </w:t>
      </w:r>
      <w:r>
        <w:rPr>
          <w:rFonts w:eastAsia="Arial"/>
          <w:bCs/>
          <w:shd w:val="clear" w:color="FDFDFD" w:fill="FDFDFD"/>
        </w:rPr>
        <w:t xml:space="preserve">the results from </w:t>
      </w:r>
      <w:r w:rsidRPr="004742BD">
        <w:rPr>
          <w:rFonts w:eastAsia="Arial"/>
          <w:bCs/>
          <w:shd w:val="clear" w:color="FDFDFD" w:fill="FDFDFD"/>
        </w:rPr>
        <w:t>a series of experiments on four different phase-transforming materials - bismuth (Bi)</w:t>
      </w:r>
      <w:r>
        <w:rPr>
          <w:rFonts w:eastAsia="Arial"/>
          <w:bCs/>
          <w:shd w:val="clear" w:color="FDFDFD" w:fill="FDFDFD"/>
        </w:rPr>
        <w:t xml:space="preserve">, </w:t>
      </w:r>
      <w:r w:rsidRPr="004742BD">
        <w:rPr>
          <w:rFonts w:eastAsia="Arial"/>
          <w:bCs/>
          <w:shd w:val="clear" w:color="FDFDFD" w:fill="FDFDFD"/>
        </w:rPr>
        <w:t xml:space="preserve">titanium </w:t>
      </w:r>
      <w:r w:rsidRPr="004742BD">
        <w:rPr>
          <w:rFonts w:eastAsia="Arial"/>
          <w:bCs/>
          <w:shd w:val="clear" w:color="FDFDFD" w:fill="FDFDFD"/>
        </w:rPr>
        <w:lastRenderedPageBreak/>
        <w:t>(</w:t>
      </w:r>
      <w:proofErr w:type="spellStart"/>
      <w:r w:rsidRPr="004742BD">
        <w:rPr>
          <w:rFonts w:eastAsia="Arial"/>
          <w:bCs/>
          <w:shd w:val="clear" w:color="FDFDFD" w:fill="FDFDFD"/>
        </w:rPr>
        <w:t>Ti</w:t>
      </w:r>
      <w:proofErr w:type="spellEnd"/>
      <w:r w:rsidRPr="004742BD">
        <w:rPr>
          <w:rFonts w:eastAsia="Arial"/>
          <w:bCs/>
          <w:shd w:val="clear" w:color="FDFDFD" w:fill="FDFDFD"/>
        </w:rPr>
        <w:t>)</w:t>
      </w:r>
      <w:r>
        <w:rPr>
          <w:rFonts w:eastAsia="Arial"/>
          <w:bCs/>
          <w:shd w:val="clear" w:color="FDFDFD" w:fill="FDFDFD"/>
        </w:rPr>
        <w:t>, nitrogen (</w:t>
      </w:r>
      <w:r w:rsidRPr="004742BD">
        <w:rPr>
          <w:rFonts w:eastAsia="Arial"/>
          <w:bCs/>
          <w:shd w:val="clear" w:color="FDFDFD" w:fill="FDFDFD"/>
        </w:rPr>
        <w:t>N</w:t>
      </w:r>
      <w:r w:rsidRPr="004742BD">
        <w:rPr>
          <w:rFonts w:eastAsia="Arial"/>
          <w:bCs/>
          <w:shd w:val="clear" w:color="FDFDFD" w:fill="FDFDFD"/>
          <w:vertAlign w:val="subscript"/>
        </w:rPr>
        <w:t>2</w:t>
      </w:r>
      <w:r>
        <w:rPr>
          <w:rFonts w:eastAsia="Arial"/>
          <w:bCs/>
          <w:shd w:val="clear" w:color="FDFDFD" w:fill="FDFDFD"/>
        </w:rPr>
        <w:t xml:space="preserve">), and </w:t>
      </w:r>
      <w:r w:rsidRPr="004742BD">
        <w:rPr>
          <w:rFonts w:eastAsia="Arial"/>
          <w:bCs/>
          <w:shd w:val="clear" w:color="FDFDFD" w:fill="FDFDFD"/>
        </w:rPr>
        <w:t>water (H</w:t>
      </w:r>
      <w:r w:rsidRPr="004742BD">
        <w:rPr>
          <w:rFonts w:eastAsia="Arial"/>
          <w:bCs/>
          <w:shd w:val="clear" w:color="FDFDFD" w:fill="FDFDFD"/>
          <w:vertAlign w:val="subscript"/>
        </w:rPr>
        <w:t>2</w:t>
      </w:r>
      <w:r w:rsidRPr="004742BD">
        <w:rPr>
          <w:rFonts w:eastAsia="Arial"/>
          <w:bCs/>
          <w:shd w:val="clear" w:color="FDFDFD" w:fill="FDFDFD"/>
        </w:rPr>
        <w:t xml:space="preserve">O) – </w:t>
      </w:r>
      <w:r w:rsidR="006A0458">
        <w:rPr>
          <w:rFonts w:eastAsia="Arial"/>
          <w:bCs/>
          <w:shd w:val="clear" w:color="FDFDFD" w:fill="FDFDFD"/>
        </w:rPr>
        <w:t>demonstrating</w:t>
      </w:r>
      <w:r w:rsidRPr="004742BD">
        <w:rPr>
          <w:rFonts w:eastAsia="Arial"/>
          <w:bCs/>
          <w:shd w:val="clear" w:color="FDFDFD" w:fill="FDFDFD"/>
        </w:rPr>
        <w:t xml:space="preserve"> the suitability of this platform for the study of a wide range of materials</w:t>
      </w:r>
      <w:r w:rsidR="00426E7D">
        <w:rPr>
          <w:rFonts w:eastAsia="Arial"/>
          <w:bCs/>
          <w:shd w:val="clear" w:color="FDFDFD" w:fill="FDFDFD"/>
        </w:rPr>
        <w:t>,</w:t>
      </w:r>
      <w:r w:rsidRPr="004742BD">
        <w:rPr>
          <w:rFonts w:eastAsia="Arial"/>
          <w:bCs/>
          <w:shd w:val="clear" w:color="FDFDFD" w:fill="FDFDFD"/>
        </w:rPr>
        <w:t xml:space="preserve"> from high-</w:t>
      </w:r>
      <w:r>
        <w:rPr>
          <w:rFonts w:eastAsia="Arial"/>
          <w:bCs/>
          <w:shd w:val="clear" w:color="FDFDFD" w:fill="FDFDFD"/>
        </w:rPr>
        <w:t xml:space="preserve"> and mid-</w:t>
      </w:r>
      <w:r w:rsidRPr="004742BD">
        <w:rPr>
          <w:rFonts w:eastAsia="Arial"/>
          <w:bCs/>
          <w:shd w:val="clear" w:color="FDFDFD" w:fill="FDFDFD"/>
        </w:rPr>
        <w:t>Z metallic systems</w:t>
      </w:r>
      <w:r>
        <w:rPr>
          <w:rFonts w:eastAsia="Arial"/>
          <w:bCs/>
          <w:shd w:val="clear" w:color="FDFDFD" w:fill="FDFDFD"/>
        </w:rPr>
        <w:t xml:space="preserve"> to </w:t>
      </w:r>
      <w:r w:rsidRPr="004742BD">
        <w:rPr>
          <w:rFonts w:eastAsia="Arial"/>
          <w:bCs/>
          <w:shd w:val="clear" w:color="FDFDFD" w:fill="FDFDFD"/>
        </w:rPr>
        <w:t xml:space="preserve">low-Z molecular solids. These data were collected as part of a DAC community proposal (#2592, </w:t>
      </w:r>
      <w:proofErr w:type="spellStart"/>
      <w:r w:rsidRPr="004742BD">
        <w:rPr>
          <w:rFonts w:eastAsia="Arial"/>
          <w:bCs/>
          <w:shd w:val="clear" w:color="FDFDFD" w:fill="FDFDFD"/>
        </w:rPr>
        <w:t>Liermann</w:t>
      </w:r>
      <w:proofErr w:type="spellEnd"/>
      <w:r w:rsidRPr="004742BD">
        <w:rPr>
          <w:rFonts w:eastAsia="Arial"/>
          <w:bCs/>
          <w:shd w:val="clear" w:color="FDFDFD" w:fill="FDFDFD"/>
        </w:rPr>
        <w:t xml:space="preserve"> and </w:t>
      </w:r>
      <w:proofErr w:type="spellStart"/>
      <w:r w:rsidRPr="004742BD">
        <w:rPr>
          <w:rFonts w:eastAsia="Arial"/>
          <w:bCs/>
          <w:shd w:val="clear" w:color="FDFDFD" w:fill="FDFDFD"/>
        </w:rPr>
        <w:t>Jenei</w:t>
      </w:r>
      <w:proofErr w:type="spellEnd"/>
      <w:r w:rsidRPr="004742BD">
        <w:rPr>
          <w:rFonts w:eastAsia="Arial"/>
          <w:bCs/>
          <w:shd w:val="clear" w:color="FDFDFD" w:fill="FDFDFD"/>
        </w:rPr>
        <w:t xml:space="preserve">), and are examples of the first </w:t>
      </w:r>
      <w:proofErr w:type="spellStart"/>
      <w:r w:rsidRPr="004742BD">
        <w:rPr>
          <w:rFonts w:eastAsia="Arial"/>
          <w:bCs/>
          <w:shd w:val="clear" w:color="FDFDFD" w:fill="FDFDFD"/>
        </w:rPr>
        <w:t>dDAC</w:t>
      </w:r>
      <w:proofErr w:type="spellEnd"/>
      <w:r w:rsidRPr="004742BD">
        <w:rPr>
          <w:rFonts w:eastAsia="Arial"/>
          <w:bCs/>
          <w:shd w:val="clear" w:color="FDFDFD" w:fill="FDFDFD"/>
        </w:rPr>
        <w:t xml:space="preserve"> compression experiments performed at the European XFEL</w:t>
      </w:r>
      <w:r>
        <w:rPr>
          <w:rFonts w:eastAsia="Arial"/>
          <w:bCs/>
          <w:shd w:val="clear" w:color="FDFDFD" w:fill="FDFDFD"/>
        </w:rPr>
        <w:t>.</w:t>
      </w:r>
    </w:p>
    <w:p w14:paraId="79AFACE5" w14:textId="77777777" w:rsidR="00A20AFF" w:rsidRDefault="00A20AFF" w:rsidP="00A20AFF">
      <w:pPr>
        <w:pStyle w:val="IUCrheading1"/>
        <w:numPr>
          <w:ilvl w:val="0"/>
          <w:numId w:val="34"/>
        </w:numPr>
        <w:textAlignment w:val="auto"/>
      </w:pPr>
      <w:r>
        <w:t xml:space="preserve">Experimental platform </w:t>
      </w:r>
    </w:p>
    <w:p w14:paraId="6388CA9F" w14:textId="77777777" w:rsidR="00A20AFF" w:rsidRPr="004742BD" w:rsidRDefault="00A20AFF" w:rsidP="00A20AFF">
      <w:pPr>
        <w:pStyle w:val="IUCrbodytext"/>
      </w:pPr>
      <w:r>
        <w:rPr>
          <w:rFonts w:eastAsia="Arial"/>
          <w:bCs/>
          <w:shd w:val="clear" w:color="FDFDFD" w:fill="FDFDFD"/>
        </w:rPr>
        <w:t xml:space="preserve">The following section describes the integration of two different types of </w:t>
      </w:r>
      <w:proofErr w:type="spellStart"/>
      <w:r>
        <w:rPr>
          <w:rFonts w:eastAsia="Arial"/>
          <w:bCs/>
          <w:shd w:val="clear" w:color="FDFDFD" w:fill="FDFDFD"/>
        </w:rPr>
        <w:t>dDAC</w:t>
      </w:r>
      <w:proofErr w:type="spellEnd"/>
      <w:r>
        <w:rPr>
          <w:rFonts w:eastAsia="Arial"/>
          <w:bCs/>
          <w:shd w:val="clear" w:color="FDFDFD" w:fill="FDFDFD"/>
        </w:rPr>
        <w:t xml:space="preserve"> drivers (</w:t>
      </w:r>
      <w:r w:rsidRPr="004742BD">
        <w:t>section 2.1)</w:t>
      </w:r>
      <w:r>
        <w:rPr>
          <w:rFonts w:eastAsia="Arial"/>
          <w:bCs/>
          <w:shd w:val="clear" w:color="FDFDFD" w:fill="FDFDFD"/>
        </w:rPr>
        <w:t xml:space="preserve"> in the DAC platform in interaction chamber 2 (</w:t>
      </w:r>
      <w:r w:rsidRPr="004742BD">
        <w:rPr>
          <w:rFonts w:eastAsia="Arial"/>
          <w:bCs/>
          <w:shd w:val="clear" w:color="FDFDFD" w:fill="FDFDFD"/>
        </w:rPr>
        <w:t>IC2</w:t>
      </w:r>
      <w:r>
        <w:rPr>
          <w:rFonts w:eastAsia="Arial"/>
          <w:bCs/>
          <w:shd w:val="clear" w:color="FDFDFD" w:fill="FDFDFD"/>
        </w:rPr>
        <w:t xml:space="preserve">) at the HED instrument </w:t>
      </w:r>
      <w:r>
        <w:rPr>
          <w:rFonts w:eastAsia="Arial"/>
          <w:bCs/>
          <w:shd w:val="clear" w:color="FDFDFD" w:fill="FDFDFD"/>
        </w:rPr>
        <w:fldChar w:fldCharType="begin"/>
      </w:r>
      <w:r>
        <w:rPr>
          <w:rFonts w:eastAsia="Arial"/>
          <w:bCs/>
          <w:shd w:val="clear" w:color="FDFDFD" w:fill="FDFDFD"/>
        </w:rPr>
        <w:instrText xml:space="preserve"> ADDIN ZOTERO_ITEM CSL_CITATION {"citationID":"IbbTEGeG","properties":{"formattedCitation":"(Zastrau {\\i{}et al.}, 2021; Liermann {\\i{}et al.}, 2021)","plainCitation":"(Zastrau et al., 2021; Liermann et al., 2021)","noteIndex":0},"citationItems":[{"id":46,"uris":["http://zotero.org/users/local/dwaXvkNj/items/TNAK7RTH"],"uri":["http://zotero.org/users/local/dwaXvkNj/items/TNAK7RTH"],"itemData":{"id":46,"type":"article-journal","title":"The High Energy Density Scientific Instrument at the European XFEL","container-title":"Journal of Synchrotron Radiation","page":"1393-1416","volume":"28","issue":"5","source":"onlinelibrary.wiley.com","abstract":"The unique parameters of the European XFEL enable novel and groundbreaking experiments in matter at extreme conditions at the High Energy Density (HED) scientific instrument. The performance of the HED instrument during its first two years of operation, its scientific remit, as well as ongoing installations towards full operation are presented.","DOI":"10.1107/S1600577521007335","ISSN":"1600-5775","journalAbbreviation":"J. Synchrotron Rad.","language":"en","author":[{"family":"Zastrau","given":"U."},{"family":"Appel","given":"K."},{"family":"Baehtz","given":"C."},{"family":"Baehr","given":"O."},{"family":"Batchelor","given":"L."},{"family":"Berghäuser","given":"A."},{"family":"Banjafar","given":"M."},{"family":"Brambrink","given":"E."},{"family":"Cerantola","given":"V."},{"family":"Cowan","given":"T. E."},{"family":"Damker","given":"H."},{"family":"Dietrich","given":"S."},{"family":"Di Dio Cafiso","given":"S."},{"family":"Dreyer","given":"J."},{"family":"Engel","given":"H.-O."},{"family":"Feldmann","given":"T."},{"family":"Findeisen","given":"S."},{"family":"Foese","given":"M."},{"family":"Fulla-Marsa","given":"D."},{"family":"Göde","given":"S."},{"family":"Hassan","given":"M."},{"family":"Hauser","given":"J."},{"family":"Herrmannsdörfer","given":"T."},{"family":"Höppner","given":"H."},{"family":"Kaa","given":"J."},{"family":"Kaever","given":"P."},{"family":"Knöfel","given":"K."},{"family":"Konôpková","given":"Z."},{"family":"Laso García","given":"A."},{"family":"Liermann","given":"H.-P."},{"family":"Mainberger","given":"J."},{"family":"Makita","given":"M."},{"family":"Martens","given":"E.-C."},{"family":"McBride","given":"E. E."},{"family":"Möller","given":"D."},{"family":"Nakatsutsumi","given":"M."},{"family":"Pelka","given":"A."},{"family":"Plueckthun","given":"C."},{"family":"Prescher","given":"C."},{"family":"Preston","given":"T. R."},{"family":"Röper","given":"M."},{"family":"Schmidt","given":"A."},{"family":"Seidel","given":"W."},{"family":"Schwinkendorf","given":"J.-P."},{"family":"Schoelmerich","given":"M. O."},{"family":"Schramm","given":"U."},{"family":"Schropp","given":"A."},{"family":"Strohm","given":"C."},{"family":"Sukharnikov","given":"K."},{"family":"Talkovski","given":"P."},{"family":"Thorpe","given":"I."},{"family":"Toncian","given":"M."},{"family":"Toncian","given":"T."},{"family":"Wollenweber","given":"L."},{"family":"Yamamoto","given":"Sh"},{"family":"Tschentscher","given":"T."}],"issued":{"date-parts":[["2021",9,1]]}}},{"id":161,"uris":["http://zotero.org/users/local/dwaXvkNj/items/AB6562ZR"],"uri":["http://zotero.org/users/local/dwaXvkNj/items/AB6562ZR"],"itemData":{"id":161,"type":"article-journal","title":"Novel experimental setup for megahertz X-ray diffraction in a diamond anvil cell at the High Energy Density (HED) instrument of the European X-ray Free-Electron Laser (EuXFEL)","container-title":"Journal of Synchrotron Radiation","page":"688-706","volume":"28","issue":"3","source":"scripts.iucr.org","abstract":"The high-precision X-ray diffraction (XRD) setup for work with diamond anvil cells (DACs) in Interaction Chamber 2 of the High Energy Density (HED) instrument of the European X-ray Free-Electron Laser is described.","DOI":"10.1107/S1600577521002551","ISSN":"1600-5775","journalAbbreviation":"J. Synchrotron Rad.","language":"en","author":[{"family":"Liermann","given":"H. P."},{"family":"Konôpková","given":"Z."},{"family":"Appel","given":"K."},{"family":"Prescher","given":"C."},{"family":"Schropp","given":"A."},{"family":"Cerantola","given":"V."},{"family":"Husband","given":"R. J."},{"family":"McHardy","given":"J. D."},{"family":"McMahon","given":"M. I."},{"family":"McWilliams","given":"R. S."},{"family":"Pépin","given":"C. M."},{"family":"Mainberger","given":"J."},{"family":"Roeper","given":"M."},{"family":"Berghäuser","given":"A."},{"family":"Damker","given":"H."},{"family":"Talkovski","given":"P."},{"family":"Foese","given":"M."},{"family":"Kujala","given":"N."},{"family":"Ball","given":"O. B."},{"family":"Baron","given":"M. A."},{"family":"Briggs","given":"R."},{"family":"Bykov","given":"M."},{"family":"Bykova","given":"E."},{"family":"Chantel","given":"J."},{"family":"Coleman","given":"A. L."},{"family":"Cynn","given":"H."},{"family":"Dattelbaum","given":"D."},{"family":"Dresselhaus-Marais","given":"L. E."},{"family":"Eggert","given":"J. H."},{"family":"Ehm","given":"L."},{"family":"Evans","given":"W. J."},{"family":"Fiquet","given":"G."},{"family":"Frost","given":"M."},{"family":"Glazyrin","given":"K."},{"family":"Goncharov","given":"A. F."},{"family":"Hwang","given":"H."},{"family":"Jenei","given":"Z."},{"family":"Kim","given":"J.-Y."},{"family":"Langenhorst","given":"F."},{"family":"Lee","given":"Y."},{"family":"Makita","given":"M."},{"family":"Marquardt","given":"H."},{"family":"McBride","given":"E. E."},{"family":"Merkel","given":"S."},{"family":"Morard","given":"G."},{"family":"O'Bannon","given":"E. F."},{"family":"Otzen","given":"C."},{"family":"Pace","given":"E. J."},{"family":"Pelka","given":"A."},{"family":"Pigott","given":"J. S."},{"family":"Prakapenka","given":"V. B."},{"family":"Redmer","given":"R."},{"family":"Sanchez-Valle","given":"C."},{"family":"Schoelmerich","given":"M."},{"family":"Speziale","given":"S."},{"family":"Spiekermann","given":"G."},{"family":"Sturtevant","given":"B. T."},{"family":"Toleikis","given":"S."},{"family":"Velisavljevic","given":"N."},{"family":"Wilke","given":"M."},{"family":"Yoo","given":"C.-S."},{"family":"Baehtz","given":"C."},{"family":"Zastrau","given":"U."},{"family":"Strohm","given":"C."}],"issued":{"date-parts":[["2021",5,1]]}}}],"schema":"https://github.com/citation-style-language/schema/raw/master/csl-citation.json"} </w:instrText>
      </w:r>
      <w:r>
        <w:rPr>
          <w:rFonts w:eastAsia="Arial"/>
          <w:bCs/>
          <w:shd w:val="clear" w:color="FDFDFD" w:fill="FDFDFD"/>
        </w:rPr>
        <w:fldChar w:fldCharType="separate"/>
      </w:r>
      <w:r w:rsidRPr="002F1D00">
        <w:t xml:space="preserve">(Zastrau </w:t>
      </w:r>
      <w:r w:rsidRPr="002F1D00">
        <w:rPr>
          <w:i/>
          <w:iCs/>
        </w:rPr>
        <w:t>et al.</w:t>
      </w:r>
      <w:r w:rsidRPr="002F1D00">
        <w:t xml:space="preserve">, 2021; Liermann </w:t>
      </w:r>
      <w:r w:rsidRPr="002F1D00">
        <w:rPr>
          <w:i/>
          <w:iCs/>
        </w:rPr>
        <w:t>et al.</w:t>
      </w:r>
      <w:r w:rsidRPr="002F1D00">
        <w:t>, 2021)</w:t>
      </w:r>
      <w:r>
        <w:rPr>
          <w:rFonts w:eastAsia="Arial"/>
          <w:bCs/>
          <w:shd w:val="clear" w:color="FDFDFD" w:fill="FDFDFD"/>
        </w:rPr>
        <w:fldChar w:fldCharType="end"/>
      </w:r>
      <w:r>
        <w:rPr>
          <w:rFonts w:eastAsia="Arial"/>
          <w:bCs/>
          <w:shd w:val="clear" w:color="FDFDFD" w:fill="FDFDFD"/>
        </w:rPr>
        <w:t>. The set-up inside IC2 consists of t</w:t>
      </w:r>
      <w:r>
        <w:t xml:space="preserve">hree </w:t>
      </w:r>
      <w:proofErr w:type="spellStart"/>
      <w:r>
        <w:t>dDACs</w:t>
      </w:r>
      <w:proofErr w:type="spellEnd"/>
      <w:r>
        <w:t xml:space="preserve"> installed in a revolving sample exchanger </w:t>
      </w:r>
      <w:r w:rsidRPr="004742BD">
        <w:t>alongside an optical microscope that is used for sample visualization and alignment</w:t>
      </w:r>
      <w:r>
        <w:t xml:space="preserve"> (section 2.2). Pulse-resolved XRD data are collected using an AGIPD detector positioned outside of IC2 behind an Al window (section 2.3), and the relative timing between the </w:t>
      </w:r>
      <w:proofErr w:type="spellStart"/>
      <w:r>
        <w:t>dDAC</w:t>
      </w:r>
      <w:proofErr w:type="spellEnd"/>
      <w:r>
        <w:t xml:space="preserve"> compression and the XFEL pulse train is controlled by an electrical drive scheme (</w:t>
      </w:r>
      <w:r w:rsidRPr="004742BD">
        <w:t>section 2.</w:t>
      </w:r>
      <w:r>
        <w:t>4).</w:t>
      </w:r>
    </w:p>
    <w:p w14:paraId="11D2124D" w14:textId="77777777" w:rsidR="00A20AFF" w:rsidRDefault="00A20AFF" w:rsidP="00A20AFF">
      <w:pPr>
        <w:pStyle w:val="IUCrheading2"/>
        <w:numPr>
          <w:ilvl w:val="1"/>
          <w:numId w:val="34"/>
        </w:numPr>
        <w:textAlignment w:val="auto"/>
      </w:pPr>
      <w:proofErr w:type="spellStart"/>
      <w:r>
        <w:t>dDAC</w:t>
      </w:r>
      <w:proofErr w:type="spellEnd"/>
      <w:r>
        <w:t xml:space="preserve"> drivers </w:t>
      </w:r>
    </w:p>
    <w:p w14:paraId="4314D3F6" w14:textId="241F1AA6" w:rsidR="00A20AFF" w:rsidRPr="002A22F9" w:rsidRDefault="00A20AFF" w:rsidP="00A20AFF">
      <w:pPr>
        <w:pStyle w:val="IUCrbodytext"/>
        <w:rPr>
          <w:rFonts w:eastAsia="Arial"/>
        </w:rPr>
      </w:pPr>
      <w:r w:rsidRPr="004742BD">
        <w:t xml:space="preserve">This set-up utilizes piezo-driven </w:t>
      </w:r>
      <w:proofErr w:type="spellStart"/>
      <w:r>
        <w:t>d</w:t>
      </w:r>
      <w:r w:rsidRPr="004742BD">
        <w:t>DACs</w:t>
      </w:r>
      <w:proofErr w:type="spellEnd"/>
      <w:r>
        <w:t xml:space="preserve"> in which the </w:t>
      </w:r>
      <w:r w:rsidRPr="004742BD">
        <w:t xml:space="preserve">sample pressure is </w:t>
      </w:r>
      <w:r>
        <w:t>increased</w:t>
      </w:r>
      <w:r w:rsidRPr="004742BD">
        <w:t xml:space="preserve"> by the force applied to the </w:t>
      </w:r>
      <w:r>
        <w:t>up</w:t>
      </w:r>
      <w:r w:rsidRPr="004742BD">
        <w:t>stream side of a conventional DAC by a piezoelectric transducer</w:t>
      </w:r>
      <w:r>
        <w:t xml:space="preserve">. The force is controlled by the application of a time-dependent voltage waveform to the piezo, defining the temporal response of the pressure profile experienced during the experiment. </w:t>
      </w:r>
      <w:r w:rsidRPr="004742BD">
        <w:t>Th</w:t>
      </w:r>
      <w:r>
        <w:t>e</w:t>
      </w:r>
      <w:r w:rsidRPr="004742BD">
        <w:t xml:space="preserve"> installation</w:t>
      </w:r>
      <w:r>
        <w:t xml:space="preserve"> described here</w:t>
      </w:r>
      <w:r w:rsidRPr="004742BD">
        <w:t xml:space="preserve"> is compatible with </w:t>
      </w:r>
      <w:r>
        <w:t xml:space="preserve">two different </w:t>
      </w:r>
      <w:proofErr w:type="spellStart"/>
      <w:r w:rsidRPr="004742BD">
        <w:t>dDAC</w:t>
      </w:r>
      <w:proofErr w:type="spellEnd"/>
      <w:r>
        <w:t xml:space="preserve"> designs </w:t>
      </w:r>
      <w:r w:rsidRPr="004742BD">
        <w:t xml:space="preserve">developed at </w:t>
      </w:r>
      <w:proofErr w:type="spellStart"/>
      <w:r w:rsidRPr="003873CF">
        <w:t>Deut</w:t>
      </w:r>
      <w:r w:rsidR="0026106E">
        <w:t>s</w:t>
      </w:r>
      <w:r w:rsidRPr="003873CF">
        <w:t>ches</w:t>
      </w:r>
      <w:proofErr w:type="spellEnd"/>
      <w:r w:rsidRPr="003873CF">
        <w:t xml:space="preserve"> </w:t>
      </w:r>
      <w:proofErr w:type="spellStart"/>
      <w:r w:rsidRPr="003873CF">
        <w:t>Elektronen</w:t>
      </w:r>
      <w:proofErr w:type="spellEnd"/>
      <w:r w:rsidRPr="003873CF">
        <w:t>-Synchrotron</w:t>
      </w:r>
      <w:r>
        <w:t xml:space="preserve"> (</w:t>
      </w:r>
      <w:r w:rsidRPr="004742BD">
        <w:t>DESY</w:t>
      </w:r>
      <w:r>
        <w:t>)</w:t>
      </w:r>
      <w:r w:rsidRPr="004742BD">
        <w:t xml:space="preserve"> </w:t>
      </w:r>
      <w:r w:rsidRPr="00AE4699">
        <w:t xml:space="preserve">and Lawrence Livermore National Laboratory (LLNL) </w:t>
      </w:r>
      <w:r w:rsidRPr="00AE4699">
        <w:fldChar w:fldCharType="begin"/>
      </w:r>
      <w:r w:rsidRPr="00AE4699">
        <w:instrText xml:space="preserve"> ADDIN ZOTERO_ITEM CSL_CITATION {"citationID":"mvUAjojV","properties":{"formattedCitation":"(Jenei {\\i{}et al.}, 2019)","plainCitation":"(Jenei et al., 2019)","noteIndex":0},"citationItems":[{"id":157,"uris":["http://zotero.org/users/local/dwaXvkNj/items/W8XCCPNI"],"uri":["http://zotero.org/users/local/dwaXvkNj/items/W8XCCPNI"],"itemData":{"id":157,"type":"article-journal","title":"New dynamic diamond anvil cells for tera-pascal per second fast compression x-ray diffraction experiments","container-title":"Review of Scientific Instruments","page":"065114","volume":"90","issue":"6","source":"aip.scitation.org (Atypon)","abstract":"Fast compression experiments performed using dynamic diamond anvil cells (dDACs) employing piezoactuators offer the opportunity to study compression-rate dependent phenomena. In this paper, we describe an experimental setup which allows us to perform time-resolved x-ray diffraction during the fast compression of materials using improved dDACs. The combination of the high flux available using a 25.6 keV x-ray beam focused with a linear array of compound refractive lenses and the two fast GaAs LAMBDA detectors available at the Extreme Conditions Beamline (P02.2) at PETRA III enables the collection of x-ray diffraction patterns at an effective repetition rate of up to 4 kHz. Compression rates of up to 160 TPa/s have been achieved during the compression of gold in a 2.5 ms fast compression using improved dDAC configurations with more powerful piezoactuators. The application of this setup to low-Z compounds at lower compression rates is described, and the high temporal resolution of the setup is demonstrated. The possibility of applying finely tuned pressure profiles opens opportunities for future research, such as using oscillations of the piezoactuator to mimic propagation of seismic waves in the Earth.","DOI":"10.1063/1.5098993","ISSN":"0034-6748","journalAbbreviation":"Rev. Sci. Instrum.","author":[{"family":"Jenei","given":"Zs."},{"family":"Liermann","given":"H. P."},{"family":"Husband","given":"R."},{"family":"Méndez","given":"A. S. J."},{"family":"Pennicard","given":"D."},{"family":"Marquardt","given":"H."},{"family":"O’Bannon","given":"E. F."},{"family":"Pakhomova","given":"A."},{"family":"Konopkova","given":"Z."},{"family":"Glazyrin","given":"K."},{"family":"Wendt","given":"M."},{"family":"Wenz","given":"S."},{"family":"McBride","given":"E. E."},{"family":"Morgenroth","given":"W."},{"family":"Winkler","given":"B."},{"family":"Rothkirch","given":"A."},{"family":"Hanfland","given":"M."},{"family":"Evans","given":"W. J."}],"issued":{"date-parts":[["2019",6]]}}}],"schema":"https://github.com/citation-style-language/schema/raw/master/csl-citation.json"} </w:instrText>
      </w:r>
      <w:r w:rsidRPr="00AE4699">
        <w:fldChar w:fldCharType="separate"/>
      </w:r>
      <w:r w:rsidRPr="00AE4699">
        <w:t xml:space="preserve">(Jenei </w:t>
      </w:r>
      <w:r w:rsidRPr="00AE4699">
        <w:rPr>
          <w:i/>
          <w:iCs/>
        </w:rPr>
        <w:t>et al.</w:t>
      </w:r>
      <w:r w:rsidRPr="00AE4699">
        <w:t>, 2019)</w:t>
      </w:r>
      <w:r w:rsidRPr="00AE4699">
        <w:fldChar w:fldCharType="end"/>
      </w:r>
      <w:r w:rsidRPr="00AE4699">
        <w:t>, specifically designed f</w:t>
      </w:r>
      <w:r w:rsidRPr="004742BD">
        <w:t>or high force generation (and consequently, high sample pressures) at short timescales.</w:t>
      </w:r>
      <w:r w:rsidRPr="004742BD">
        <w:rPr>
          <w:rFonts w:eastAsia="Arial"/>
        </w:rPr>
        <w:t xml:space="preserve"> In both designs, the piezo and DAC are contained within a</w:t>
      </w:r>
      <w:r>
        <w:rPr>
          <w:rFonts w:eastAsia="Arial"/>
        </w:rPr>
        <w:t>n external</w:t>
      </w:r>
      <w:r w:rsidRPr="004742BD">
        <w:rPr>
          <w:rFonts w:eastAsia="Arial"/>
        </w:rPr>
        <w:t xml:space="preserve"> metallic housing with a </w:t>
      </w:r>
      <w:r>
        <w:rPr>
          <w:rFonts w:eastAsia="Arial"/>
        </w:rPr>
        <w:t>threaded</w:t>
      </w:r>
      <w:r w:rsidRPr="004742BD">
        <w:rPr>
          <w:rFonts w:eastAsia="Arial"/>
        </w:rPr>
        <w:t xml:space="preserve"> cap </w:t>
      </w:r>
      <w:r>
        <w:rPr>
          <w:rFonts w:eastAsia="Arial"/>
        </w:rPr>
        <w:t xml:space="preserve">to ensure good mechanical contact between the actuator and the DAC. The design of the metallic housing </w:t>
      </w:r>
      <w:r w:rsidRPr="001A2EC5">
        <w:rPr>
          <w:rFonts w:eastAsia="Arial"/>
          <w:color w:val="000000" w:themeColor="text1"/>
        </w:rPr>
        <w:t xml:space="preserve">enables easy exchange of numerous pre-loaded, standard DACs with relatively few piezoelectric drivers; as such, they are suitable for experiments in which data will be collected from a large number of DACs. </w:t>
      </w:r>
      <w:bookmarkStart w:id="8" w:name="_Hlk132283452"/>
      <w:bookmarkStart w:id="9" w:name="_Hlk132284078"/>
      <w:r w:rsidR="002A22F9" w:rsidRPr="001A2EC5">
        <w:rPr>
          <w:rFonts w:eastAsia="Arial"/>
          <w:color w:val="000000" w:themeColor="text1"/>
        </w:rPr>
        <w:t xml:space="preserve">The angular aperture which is useable for X-ray diffraction is the same as for the standard DAC, </w:t>
      </w:r>
      <w:r w:rsidR="0069442C" w:rsidRPr="001A2EC5">
        <w:rPr>
          <w:rFonts w:eastAsia="Arial"/>
          <w:color w:val="000000" w:themeColor="text1"/>
        </w:rPr>
        <w:t>which</w:t>
      </w:r>
      <w:r w:rsidR="002A22F9" w:rsidRPr="001A2EC5">
        <w:rPr>
          <w:rFonts w:eastAsia="Arial"/>
          <w:color w:val="000000" w:themeColor="text1"/>
        </w:rPr>
        <w:t xml:space="preserve"> is </w:t>
      </w:r>
      <w:r w:rsidR="002A22F9" w:rsidRPr="001A2EC5">
        <w:rPr>
          <w:rFonts w:eastAsia="Arial"/>
          <w:color w:val="000000" w:themeColor="text1"/>
          <w:szCs w:val="22"/>
        </w:rPr>
        <w:t>dependent</w:t>
      </w:r>
      <w:r w:rsidR="0069442C" w:rsidRPr="001A2EC5">
        <w:rPr>
          <w:rFonts w:eastAsia="Arial"/>
          <w:color w:val="000000" w:themeColor="text1"/>
          <w:szCs w:val="22"/>
        </w:rPr>
        <w:t xml:space="preserve"> both on the DAC design and </w:t>
      </w:r>
      <w:r w:rsidR="00B8280C" w:rsidRPr="001A2EC5">
        <w:rPr>
          <w:rFonts w:eastAsia="Arial"/>
          <w:color w:val="000000" w:themeColor="text1"/>
          <w:szCs w:val="22"/>
        </w:rPr>
        <w:t>the diamond/seat combination used on the downstream side</w:t>
      </w:r>
      <w:r w:rsidR="002A22F9" w:rsidRPr="001A2EC5">
        <w:rPr>
          <w:rFonts w:eastAsia="Arial"/>
          <w:color w:val="000000" w:themeColor="text1"/>
          <w:szCs w:val="22"/>
        </w:rPr>
        <w:t xml:space="preserve">. </w:t>
      </w:r>
      <w:r w:rsidR="00B86D43" w:rsidRPr="001A2EC5">
        <w:rPr>
          <w:rFonts w:eastAsia="Arial"/>
          <w:color w:val="000000" w:themeColor="text1"/>
          <w:szCs w:val="22"/>
        </w:rPr>
        <w:t xml:space="preserve">The DESY </w:t>
      </w:r>
      <w:proofErr w:type="spellStart"/>
      <w:r w:rsidR="00B86D43" w:rsidRPr="001A2EC5">
        <w:rPr>
          <w:rFonts w:eastAsia="Arial"/>
          <w:color w:val="000000" w:themeColor="text1"/>
          <w:szCs w:val="22"/>
        </w:rPr>
        <w:t>dDAC</w:t>
      </w:r>
      <w:proofErr w:type="spellEnd"/>
      <w:r w:rsidR="00B86D43" w:rsidRPr="001A2EC5">
        <w:rPr>
          <w:rFonts w:eastAsia="Arial"/>
          <w:color w:val="000000" w:themeColor="text1"/>
          <w:szCs w:val="22"/>
        </w:rPr>
        <w:t xml:space="preserve"> is used in conjunction with symmetric, piston-cylinder type DACs offering a 69.8° X-ray opening angle when equipped with a standard diamond facing upstream and a </w:t>
      </w:r>
      <w:proofErr w:type="spellStart"/>
      <w:r w:rsidR="00B86D43" w:rsidRPr="001A2EC5">
        <w:rPr>
          <w:rFonts w:eastAsia="Arial"/>
          <w:color w:val="000000" w:themeColor="text1"/>
          <w:szCs w:val="22"/>
        </w:rPr>
        <w:t>Boehler</w:t>
      </w:r>
      <w:proofErr w:type="spellEnd"/>
      <w:r w:rsidR="00B86D43" w:rsidRPr="001A2EC5">
        <w:rPr>
          <w:rFonts w:eastAsia="Arial"/>
          <w:color w:val="000000" w:themeColor="text1"/>
          <w:szCs w:val="22"/>
        </w:rPr>
        <w:t xml:space="preserve"> </w:t>
      </w:r>
      <w:proofErr w:type="spellStart"/>
      <w:r w:rsidR="00B86D43" w:rsidRPr="001A2EC5">
        <w:rPr>
          <w:rFonts w:eastAsia="Arial"/>
          <w:color w:val="000000" w:themeColor="text1"/>
          <w:szCs w:val="22"/>
        </w:rPr>
        <w:t>Almax</w:t>
      </w:r>
      <w:proofErr w:type="spellEnd"/>
      <w:r w:rsidR="00B86D43" w:rsidRPr="001A2EC5">
        <w:rPr>
          <w:rFonts w:eastAsia="Arial"/>
          <w:color w:val="000000" w:themeColor="text1"/>
          <w:szCs w:val="22"/>
        </w:rPr>
        <w:t xml:space="preserve"> (BA) diamond with a 70° X-ray aperture facing downstream</w:t>
      </w:r>
      <w:r w:rsidR="00AC6F36" w:rsidRPr="001A2EC5">
        <w:rPr>
          <w:rFonts w:eastAsia="Arial"/>
          <w:color w:val="000000" w:themeColor="text1"/>
          <w:szCs w:val="22"/>
        </w:rPr>
        <w:t xml:space="preserve">. The LLNL </w:t>
      </w:r>
      <w:proofErr w:type="spellStart"/>
      <w:r w:rsidR="00AC6F36" w:rsidRPr="001A2EC5">
        <w:rPr>
          <w:rFonts w:eastAsia="Arial"/>
          <w:color w:val="000000" w:themeColor="text1"/>
          <w:szCs w:val="22"/>
        </w:rPr>
        <w:t>dDAC</w:t>
      </w:r>
      <w:proofErr w:type="spellEnd"/>
      <w:r w:rsidR="00AC6F36" w:rsidRPr="001A2EC5">
        <w:rPr>
          <w:rFonts w:eastAsia="Arial"/>
          <w:color w:val="000000" w:themeColor="text1"/>
          <w:szCs w:val="22"/>
        </w:rPr>
        <w:t xml:space="preserve"> is compatible with LLNL-type </w:t>
      </w:r>
      <w:r w:rsidR="00D703AC" w:rsidRPr="001A2EC5">
        <w:rPr>
          <w:rFonts w:eastAsia="Arial"/>
          <w:color w:val="000000" w:themeColor="text1"/>
          <w:szCs w:val="22"/>
        </w:rPr>
        <w:t>DACs</w:t>
      </w:r>
      <w:r w:rsidR="00F71592" w:rsidRPr="001A2EC5">
        <w:rPr>
          <w:rFonts w:eastAsia="Arial"/>
          <w:color w:val="000000" w:themeColor="text1"/>
          <w:szCs w:val="22"/>
        </w:rPr>
        <w:t xml:space="preserve"> </w:t>
      </w:r>
      <w:r w:rsidR="00491DFC" w:rsidRPr="001A2EC5">
        <w:rPr>
          <w:rFonts w:eastAsia="Arial"/>
          <w:color w:val="000000" w:themeColor="text1"/>
          <w:szCs w:val="22"/>
        </w:rPr>
        <w:t>with</w:t>
      </w:r>
      <w:r w:rsidR="00A343B1" w:rsidRPr="001A2EC5">
        <w:rPr>
          <w:rFonts w:eastAsia="Arial"/>
          <w:color w:val="000000" w:themeColor="text1"/>
          <w:szCs w:val="22"/>
        </w:rPr>
        <w:t xml:space="preserve"> a</w:t>
      </w:r>
      <w:r w:rsidR="00D703AC" w:rsidRPr="001A2EC5">
        <w:rPr>
          <w:rFonts w:eastAsia="Arial"/>
          <w:color w:val="000000" w:themeColor="text1"/>
          <w:szCs w:val="22"/>
        </w:rPr>
        <w:t xml:space="preserve"> </w:t>
      </w:r>
      <w:r w:rsidR="00A343B1" w:rsidRPr="001A2EC5">
        <w:rPr>
          <w:rFonts w:eastAsia="Arial"/>
          <w:color w:val="000000" w:themeColor="text1"/>
          <w:szCs w:val="22"/>
        </w:rPr>
        <w:t xml:space="preserve">slotted opening </w:t>
      </w:r>
      <w:r w:rsidR="005C5539" w:rsidRPr="001A2EC5">
        <w:rPr>
          <w:rFonts w:eastAsia="Arial"/>
          <w:color w:val="000000" w:themeColor="text1"/>
          <w:szCs w:val="22"/>
        </w:rPr>
        <w:t>proving</w:t>
      </w:r>
      <w:r w:rsidR="00491DFC" w:rsidRPr="001A2EC5">
        <w:rPr>
          <w:rFonts w:eastAsia="Arial"/>
          <w:color w:val="000000" w:themeColor="text1"/>
          <w:szCs w:val="22"/>
        </w:rPr>
        <w:t xml:space="preserve"> 55/90°</w:t>
      </w:r>
      <w:r w:rsidR="005C5539" w:rsidRPr="001A2EC5">
        <w:rPr>
          <w:rFonts w:eastAsia="Arial"/>
          <w:color w:val="000000" w:themeColor="text1"/>
          <w:szCs w:val="22"/>
        </w:rPr>
        <w:t xml:space="preserve"> X-</w:t>
      </w:r>
      <w:r w:rsidR="005C5539" w:rsidRPr="001A2EC5">
        <w:rPr>
          <w:rFonts w:eastAsia="Arial"/>
          <w:color w:val="000000" w:themeColor="text1"/>
        </w:rPr>
        <w:t>ray</w:t>
      </w:r>
      <w:r w:rsidR="00491DFC" w:rsidRPr="001A2EC5">
        <w:rPr>
          <w:rFonts w:eastAsia="Arial"/>
          <w:color w:val="000000" w:themeColor="text1"/>
        </w:rPr>
        <w:t xml:space="preserve"> coverage </w:t>
      </w:r>
      <w:r w:rsidR="00A343B1" w:rsidRPr="001A2EC5">
        <w:rPr>
          <w:rFonts w:eastAsia="Arial"/>
          <w:color w:val="000000" w:themeColor="text1"/>
        </w:rPr>
        <w:t>on the downstream</w:t>
      </w:r>
      <w:r w:rsidR="00491DFC" w:rsidRPr="001A2EC5">
        <w:rPr>
          <w:rFonts w:eastAsia="Arial"/>
          <w:color w:val="000000" w:themeColor="text1"/>
        </w:rPr>
        <w:t xml:space="preserve"> side </w:t>
      </w:r>
      <w:r w:rsidR="00491DFC" w:rsidRPr="001A2EC5">
        <w:rPr>
          <w:rFonts w:eastAsia="Arial"/>
          <w:color w:val="000000" w:themeColor="text1"/>
        </w:rPr>
        <w:fldChar w:fldCharType="begin"/>
      </w:r>
      <w:r w:rsidR="00491DFC" w:rsidRPr="001A2EC5">
        <w:rPr>
          <w:rFonts w:eastAsia="Arial"/>
          <w:color w:val="000000" w:themeColor="text1"/>
        </w:rPr>
        <w:instrText xml:space="preserve"> ADDIN ZOTERO_ITEM CSL_CITATION {"citationID":"OQTUtgq3","properties":{"formattedCitation":"(Jenei {\\i{}et al.}, 2013)","plainCitation":"(Jenei et al., 2013)","noteIndex":0},"citationItems":[{"id":231,"uris":["http://zotero.org/users/local/dwaXvkNj/items/2FN35QPL"],"uri":["http://zotero.org/users/local/dwaXvkNj/items/2FN35QPL"],"itemData":{"id":231,"type":"article-journal","title":"High-temperature experiments using a resistively heated high-pressure membrane diamond anvil cell","container-title":"Review of Scientific Instruments","page":"095114","volume":"84","issue":"9","source":"aip.scitation.org (Atypon)","abstract":"We describe a reliable high performance resistive heating method developed for the membrane diamond anvil cell. This method generates homogenous high temperatures at high pressure in the whole sample for extended operation period. It relies on two mini coil heaters made of Pt-Rh alloy wire mounted around the diamond anvils and gasket, while temperature is monitored by two K-type thermocouples mounted near the sample. The sample, diamonds, and tungsten-carbide seats are thermally insulated from the piston and cylinder keeping the cell temperature below 750 K while the sample temperature is 1200 K. The cell with the heaters is placed in a vacuum oven to prevent oxidation and unnecessary heat loss. This assembly allows complete remote operation, ideally suited for experiments at synchrotron facilities. Capabilities of the setup are demonstrated for in situ Raman and synchrotron x-ray diffraction measurements. We show experimental measurements from isothermal compression at 900 K and 580 K to 100 GPa and 185 GPa, respectively, and quasi-isobaric compression at 95 GPa over 1000 K.","DOI":"10.1063/1.4821622","ISSN":"0034-6748","author":[{"family":"Jenei","given":"Zsolt"},{"family":"Cynn","given":"Hyunchae"},{"family":"Visbeck","given":"Ken"},{"family":"Evans","given":"William J."}],"issued":{"date-parts":[["2013",9]]}}}],"schema":"https://github.com/citation-style-language/schema/raw/master/csl-citation.json"} </w:instrText>
      </w:r>
      <w:r w:rsidR="00491DFC" w:rsidRPr="001A2EC5">
        <w:rPr>
          <w:rFonts w:eastAsia="Arial"/>
          <w:color w:val="000000" w:themeColor="text1"/>
        </w:rPr>
        <w:fldChar w:fldCharType="separate"/>
      </w:r>
      <w:r w:rsidR="00491DFC" w:rsidRPr="001A2EC5">
        <w:rPr>
          <w:color w:val="000000" w:themeColor="text1"/>
        </w:rPr>
        <w:t xml:space="preserve">(Jenei </w:t>
      </w:r>
      <w:r w:rsidR="00491DFC" w:rsidRPr="001A2EC5">
        <w:rPr>
          <w:i/>
          <w:iCs/>
          <w:color w:val="000000" w:themeColor="text1"/>
        </w:rPr>
        <w:t>et al.</w:t>
      </w:r>
      <w:r w:rsidR="00491DFC" w:rsidRPr="001A2EC5">
        <w:rPr>
          <w:color w:val="000000" w:themeColor="text1"/>
        </w:rPr>
        <w:t>, 2013)</w:t>
      </w:r>
      <w:r w:rsidR="00491DFC" w:rsidRPr="001A2EC5">
        <w:rPr>
          <w:rFonts w:eastAsia="Arial"/>
          <w:color w:val="000000" w:themeColor="text1"/>
        </w:rPr>
        <w:fldChar w:fldCharType="end"/>
      </w:r>
      <w:r w:rsidR="00F71592" w:rsidRPr="001A2EC5">
        <w:rPr>
          <w:rFonts w:eastAsia="Arial"/>
          <w:color w:val="000000" w:themeColor="text1"/>
        </w:rPr>
        <w:t>. The</w:t>
      </w:r>
      <w:r w:rsidR="00B610E6" w:rsidRPr="001A2EC5">
        <w:rPr>
          <w:rFonts w:eastAsia="Arial"/>
          <w:color w:val="000000" w:themeColor="text1"/>
        </w:rPr>
        <w:t xml:space="preserve"> LLNL DACs</w:t>
      </w:r>
      <w:r w:rsidR="00F71592" w:rsidRPr="001A2EC5">
        <w:rPr>
          <w:rFonts w:eastAsia="Arial"/>
          <w:color w:val="000000" w:themeColor="text1"/>
        </w:rPr>
        <w:t xml:space="preserve"> </w:t>
      </w:r>
      <w:r w:rsidR="00B610E6" w:rsidRPr="001A2EC5">
        <w:rPr>
          <w:rFonts w:eastAsia="Arial"/>
          <w:color w:val="000000" w:themeColor="text1"/>
        </w:rPr>
        <w:t>are</w:t>
      </w:r>
      <w:r w:rsidR="00A343B1" w:rsidRPr="001A2EC5">
        <w:rPr>
          <w:rFonts w:eastAsia="Arial"/>
          <w:color w:val="000000" w:themeColor="text1"/>
        </w:rPr>
        <w:t xml:space="preserve"> equipped </w:t>
      </w:r>
      <w:r w:rsidR="00A343B1" w:rsidRPr="001A2EC5">
        <w:rPr>
          <w:color w:val="000000" w:themeColor="text1"/>
        </w:rPr>
        <w:t xml:space="preserve">with standard cut diamonds mounted on a tungsten carbide </w:t>
      </w:r>
      <w:r w:rsidR="00491DFC" w:rsidRPr="001A2EC5">
        <w:rPr>
          <w:color w:val="000000" w:themeColor="text1"/>
        </w:rPr>
        <w:t xml:space="preserve">(WC) </w:t>
      </w:r>
      <w:r w:rsidR="00A343B1" w:rsidRPr="001A2EC5">
        <w:rPr>
          <w:color w:val="000000" w:themeColor="text1"/>
        </w:rPr>
        <w:t xml:space="preserve">seat </w:t>
      </w:r>
      <w:r w:rsidR="005C5539" w:rsidRPr="001A2EC5">
        <w:rPr>
          <w:color w:val="000000" w:themeColor="text1"/>
        </w:rPr>
        <w:t>facing</w:t>
      </w:r>
      <w:r w:rsidR="00491DFC" w:rsidRPr="001A2EC5">
        <w:rPr>
          <w:color w:val="000000" w:themeColor="text1"/>
        </w:rPr>
        <w:t xml:space="preserve"> </w:t>
      </w:r>
      <w:r w:rsidR="00A343B1" w:rsidRPr="001A2EC5">
        <w:rPr>
          <w:color w:val="000000" w:themeColor="text1"/>
        </w:rPr>
        <w:t>upstream and a cubic boron nitride (</w:t>
      </w:r>
      <w:proofErr w:type="spellStart"/>
      <w:r w:rsidR="00A343B1" w:rsidRPr="001A2EC5">
        <w:rPr>
          <w:color w:val="000000" w:themeColor="text1"/>
        </w:rPr>
        <w:t>cBN</w:t>
      </w:r>
      <w:proofErr w:type="spellEnd"/>
      <w:r w:rsidR="00A343B1" w:rsidRPr="001A2EC5">
        <w:rPr>
          <w:color w:val="000000" w:themeColor="text1"/>
        </w:rPr>
        <w:t xml:space="preserve">) seat </w:t>
      </w:r>
      <w:r w:rsidR="00491DFC" w:rsidRPr="001A2EC5">
        <w:rPr>
          <w:color w:val="000000" w:themeColor="text1"/>
        </w:rPr>
        <w:t>facing</w:t>
      </w:r>
      <w:r w:rsidR="00A343B1" w:rsidRPr="001A2EC5">
        <w:rPr>
          <w:color w:val="000000" w:themeColor="text1"/>
        </w:rPr>
        <w:t xml:space="preserve"> downstream</w:t>
      </w:r>
      <w:r w:rsidR="00F71592" w:rsidRPr="001A2EC5">
        <w:rPr>
          <w:color w:val="000000" w:themeColor="text1"/>
        </w:rPr>
        <w:t xml:space="preserve">, so that X-ray coverage </w:t>
      </w:r>
      <w:r w:rsidR="00B610E6" w:rsidRPr="001A2EC5">
        <w:rPr>
          <w:color w:val="000000" w:themeColor="text1"/>
        </w:rPr>
        <w:t>is</w:t>
      </w:r>
      <w:r w:rsidR="00F71592" w:rsidRPr="001A2EC5">
        <w:rPr>
          <w:color w:val="000000" w:themeColor="text1"/>
        </w:rPr>
        <w:t xml:space="preserve"> limited by the slot opening in the DAC</w:t>
      </w:r>
      <w:r w:rsidR="00A343B1" w:rsidRPr="001A2EC5">
        <w:rPr>
          <w:color w:val="000000" w:themeColor="text1"/>
        </w:rPr>
        <w:t>.</w:t>
      </w:r>
      <w:bookmarkEnd w:id="8"/>
      <w:r w:rsidR="00491DFC" w:rsidRPr="001A2EC5">
        <w:rPr>
          <w:color w:val="000000" w:themeColor="text1"/>
        </w:rPr>
        <w:t xml:space="preserve"> </w:t>
      </w:r>
      <w:bookmarkEnd w:id="9"/>
      <w:r w:rsidRPr="001A2EC5">
        <w:rPr>
          <w:rFonts w:eastAsia="Arial"/>
          <w:color w:val="000000" w:themeColor="text1"/>
        </w:rPr>
        <w:t xml:space="preserve">The LLNL </w:t>
      </w:r>
      <w:proofErr w:type="spellStart"/>
      <w:r w:rsidRPr="001A2EC5">
        <w:rPr>
          <w:rFonts w:eastAsia="Arial"/>
          <w:color w:val="000000" w:themeColor="text1"/>
        </w:rPr>
        <w:t>dDACs</w:t>
      </w:r>
      <w:proofErr w:type="spellEnd"/>
      <w:r w:rsidRPr="001A2EC5">
        <w:rPr>
          <w:rFonts w:eastAsia="Arial"/>
          <w:color w:val="000000" w:themeColor="text1"/>
        </w:rPr>
        <w:t xml:space="preserve"> are equipped with a </w:t>
      </w:r>
      <w:proofErr w:type="spellStart"/>
      <w:r w:rsidRPr="001A2EC5">
        <w:rPr>
          <w:color w:val="000000" w:themeColor="text1"/>
        </w:rPr>
        <w:t>HPSt</w:t>
      </w:r>
      <w:proofErr w:type="spellEnd"/>
      <w:r w:rsidRPr="001A2EC5">
        <w:rPr>
          <w:color w:val="000000" w:themeColor="text1"/>
        </w:rPr>
        <w:t xml:space="preserve"> </w:t>
      </w:r>
      <w:r w:rsidRPr="004742BD">
        <w:t>1000/35-25/80 piezo actuator</w:t>
      </w:r>
      <w:r>
        <w:t xml:space="preserve"> (</w:t>
      </w:r>
      <w:proofErr w:type="spellStart"/>
      <w:r w:rsidRPr="00FC1152">
        <w:t>Piezosystems</w:t>
      </w:r>
      <w:proofErr w:type="spellEnd"/>
      <w:r w:rsidRPr="00FC1152">
        <w:t xml:space="preserve"> Jena GmbH</w:t>
      </w:r>
      <w:r>
        <w:t>)</w:t>
      </w:r>
      <w:r w:rsidRPr="004742BD">
        <w:t xml:space="preserve"> and the DESY design is equipped with a 64-107 actuator</w:t>
      </w:r>
      <w:r>
        <w:t xml:space="preserve"> (</w:t>
      </w:r>
      <w:r w:rsidRPr="00FC1152">
        <w:t>a PI Ceramic GmbH</w:t>
      </w:r>
      <w:r>
        <w:t>)</w:t>
      </w:r>
      <w:r w:rsidRPr="004742BD">
        <w:t xml:space="preserve">, both of </w:t>
      </w:r>
      <w:r w:rsidRPr="004742BD">
        <w:lastRenderedPageBreak/>
        <w:t>which have a maximum operating voltage of 1000</w:t>
      </w:r>
      <w:r>
        <w:t> </w:t>
      </w:r>
      <w:r w:rsidRPr="004742BD">
        <w:t>V. When used in combination with the RCV 1000/7 amplifier</w:t>
      </w:r>
      <w:r>
        <w:t xml:space="preserve"> (</w:t>
      </w:r>
      <w:proofErr w:type="spellStart"/>
      <w:r w:rsidRPr="00FC1152">
        <w:t>Piezosystems</w:t>
      </w:r>
      <w:proofErr w:type="spellEnd"/>
      <w:r w:rsidRPr="00FC1152">
        <w:t xml:space="preserve"> Jena GmbH</w:t>
      </w:r>
      <w:r>
        <w:t>)</w:t>
      </w:r>
      <w:r w:rsidRPr="004742BD">
        <w:t>, this gives a minimum rise time (0-1000V) of 1.2 </w:t>
      </w:r>
      <w:proofErr w:type="spellStart"/>
      <w:r w:rsidRPr="004742BD">
        <w:t>ms</w:t>
      </w:r>
      <w:proofErr w:type="spellEnd"/>
      <w:r w:rsidRPr="004742BD">
        <w:t xml:space="preserve"> for the DESY </w:t>
      </w:r>
      <w:proofErr w:type="spellStart"/>
      <w:r w:rsidRPr="004742BD">
        <w:t>dDAC</w:t>
      </w:r>
      <w:proofErr w:type="spellEnd"/>
      <w:r w:rsidRPr="004742BD">
        <w:t xml:space="preserve"> and 340 µs for the LLNL </w:t>
      </w:r>
      <w:proofErr w:type="spellStart"/>
      <w:r w:rsidRPr="004742BD">
        <w:t>dDAC</w:t>
      </w:r>
      <w:proofErr w:type="spellEnd"/>
      <w:r w:rsidRPr="004742BD">
        <w:t>. Full details of are given in</w:t>
      </w:r>
      <w:r>
        <w:t xml:space="preserve"> </w:t>
      </w:r>
      <w:r>
        <w:fldChar w:fldCharType="begin"/>
      </w:r>
      <w:r>
        <w:instrText xml:space="preserve"> ADDIN ZOTERO_ITEM CSL_CITATION {"citationID":"bKFW7ssN","properties":{"formattedCitation":"(Jenei {\\i{}et al.}, 2019)","plainCitation":"(Jenei et al., 2019)","noteIndex":0},"citationItems":[{"id":157,"uris":["http://zotero.org/users/local/dwaXvkNj/items/W8XCCPNI"],"uri":["http://zotero.org/users/local/dwaXvkNj/items/W8XCCPNI"],"itemData":{"id":157,"type":"article-journal","title":"New dynamic diamond anvil cells for tera-pascal per second fast compression x-ray diffraction experiments","container-title":"Review of Scientific Instruments","page":"065114","volume":"90","issue":"6","source":"aip.scitation.org (Atypon)","abstract":"Fast compression experiments performed using dynamic diamond anvil cells (dDACs) employing piezoactuators offer the opportunity to study compression-rate dependent phenomena. In this paper, we describe an experimental setup which allows us to perform time-resolved x-ray diffraction during the fast compression of materials using improved dDACs. The combination of the high flux available using a 25.6 keV x-ray beam focused with a linear array of compound refractive lenses and the two fast GaAs LAMBDA detectors available at the Extreme Conditions Beamline (P02.2) at PETRA III enables the collection of x-ray diffraction patterns at an effective repetition rate of up to 4 kHz. Compression rates of up to 160 TPa/s have been achieved during the compression of gold in a 2.5 ms fast compression using improved dDAC configurations with more powerful piezoactuators. The application of this setup to low-Z compounds at lower compression rates is described, and the high temporal resolution of the setup is demonstrated. The possibility of applying finely tuned pressure profiles opens opportunities for future research, such as using oscillations of the piezoactuator to mimic propagation of seismic waves in the Earth.","DOI":"10.1063/1.5098993","ISSN":"0034-6748","journalAbbreviation":"Rev. Sci. Instrum.","author":[{"family":"Jenei","given":"Zs."},{"family":"Liermann","given":"H. P."},{"family":"Husband","given":"R."},{"family":"Méndez","given":"A. S. J."},{"family":"Pennicard","given":"D."},{"family":"Marquardt","given":"H."},{"family":"O’Bannon","given":"E. F."},{"family":"Pakhomova","given":"A."},{"family":"Konopkova","given":"Z."},{"family":"Glazyrin","given":"K."},{"family":"Wendt","given":"M."},{"family":"Wenz","given":"S."},{"family":"McBride","given":"E. E."},{"family":"Morgenroth","given":"W."},{"family":"Winkler","given":"B."},{"family":"Rothkirch","given":"A."},{"family":"Hanfland","given":"M."},{"family":"Evans","given":"W. J."}],"issued":{"date-parts":[["2019",6]]}}}],"schema":"https://github.com/citation-style-language/schema/raw/master/csl-citation.json"} </w:instrText>
      </w:r>
      <w:r>
        <w:fldChar w:fldCharType="separate"/>
      </w:r>
      <w:r w:rsidRPr="00993CF3">
        <w:t xml:space="preserve">(Jenei </w:t>
      </w:r>
      <w:r w:rsidRPr="00993CF3">
        <w:rPr>
          <w:i/>
          <w:iCs/>
        </w:rPr>
        <w:t>et al.</w:t>
      </w:r>
      <w:r w:rsidRPr="00993CF3">
        <w:t>, 2019)</w:t>
      </w:r>
      <w:r>
        <w:fldChar w:fldCharType="end"/>
      </w:r>
      <w:r>
        <w:t>.</w:t>
      </w:r>
    </w:p>
    <w:p w14:paraId="111462DB" w14:textId="77777777" w:rsidR="00A20AFF" w:rsidRDefault="00A20AFF" w:rsidP="00A20AFF">
      <w:pPr>
        <w:pStyle w:val="IUCrbodytext"/>
      </w:pPr>
      <w:bookmarkStart w:id="10" w:name="_Hlk127449694"/>
      <w:r w:rsidRPr="004742BD">
        <w:t>The cell response (</w:t>
      </w:r>
      <w:r>
        <w:t>the initiation of a systematic, measurable sample pressure variation vs. applied voltage</w:t>
      </w:r>
      <w:r w:rsidRPr="004742BD">
        <w:t xml:space="preserve">) depends on the pre-compression applied by the tightening of the </w:t>
      </w:r>
      <w:r>
        <w:t>threaded</w:t>
      </w:r>
      <w:r w:rsidRPr="004742BD">
        <w:t xml:space="preserve"> cap. Reproducible pre-compression is therefore important to ensure </w:t>
      </w:r>
      <w:r>
        <w:t xml:space="preserve">repeatable </w:t>
      </w:r>
      <w:r w:rsidRPr="004742BD">
        <w:t xml:space="preserve">timing between the drive voltage and the XFEL probe. </w:t>
      </w:r>
      <w:r>
        <w:t>For this reason, t</w:t>
      </w:r>
      <w:r w:rsidRPr="004742BD">
        <w:t xml:space="preserve">he </w:t>
      </w:r>
      <w:proofErr w:type="spellStart"/>
      <w:r w:rsidRPr="004742BD">
        <w:t>dDAC</w:t>
      </w:r>
      <w:proofErr w:type="spellEnd"/>
      <w:r w:rsidRPr="004742BD">
        <w:t xml:space="preserve"> housings were modified from their original design </w:t>
      </w:r>
      <w:r>
        <w:t>to integrate an interface for a t</w:t>
      </w:r>
      <w:r w:rsidRPr="004742BD">
        <w:t>orque wrench</w:t>
      </w:r>
      <w:bookmarkEnd w:id="10"/>
      <w:r w:rsidRPr="004742BD">
        <w:t xml:space="preserve">. In the DESY design, this was achieved </w:t>
      </w:r>
      <w:r>
        <w:t>by machining a</w:t>
      </w:r>
      <w:r w:rsidRPr="004742BD">
        <w:t xml:space="preserve"> hex</w:t>
      </w:r>
      <w:r>
        <w:t>agonal stud interface to a size 24 mm socket</w:t>
      </w:r>
      <w:r w:rsidRPr="004742BD">
        <w:t xml:space="preserve"> directly into the cap, whereas for the LLNL design this was accomplished using a</w:t>
      </w:r>
      <w:r>
        <w:t xml:space="preserve"> 4-pin </w:t>
      </w:r>
      <w:r w:rsidRPr="004742BD">
        <w:t xml:space="preserve">adapter which couples </w:t>
      </w:r>
      <w:r>
        <w:t>to four holes in the threaded cap and has a square interface in the middle of the plate to attach it to a torque wrench</w:t>
      </w:r>
      <w:r w:rsidRPr="004742BD">
        <w:t xml:space="preserve"> (Fig. 1). </w:t>
      </w:r>
    </w:p>
    <w:p w14:paraId="562120E8" w14:textId="5508E649" w:rsidR="00A20AFF" w:rsidRPr="004742BD" w:rsidRDefault="00666E7D" w:rsidP="00A20AFF">
      <w:pPr>
        <w:pStyle w:val="IUCrbodytext"/>
      </w:pPr>
      <w:r>
        <w:rPr>
          <w:noProof/>
        </w:rPr>
        <w:drawing>
          <wp:inline distT="0" distB="0" distL="0" distR="0" wp14:anchorId="5177670B" wp14:editId="13F83A01">
            <wp:extent cx="5731510" cy="2701925"/>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1 _1.png"/>
                    <pic:cNvPicPr/>
                  </pic:nvPicPr>
                  <pic:blipFill>
                    <a:blip r:embed="rId9">
                      <a:extLst>
                        <a:ext uri="{28A0092B-C50C-407E-A947-70E740481C1C}">
                          <a14:useLocalDpi xmlns:a14="http://schemas.microsoft.com/office/drawing/2010/main"/>
                        </a:ext>
                      </a:extLst>
                    </a:blip>
                    <a:stretch>
                      <a:fillRect/>
                    </a:stretch>
                  </pic:blipFill>
                  <pic:spPr>
                    <a:xfrm>
                      <a:off x="0" y="0"/>
                      <a:ext cx="5731510" cy="2701925"/>
                    </a:xfrm>
                    <a:prstGeom prst="rect">
                      <a:avLst/>
                    </a:prstGeom>
                  </pic:spPr>
                </pic:pic>
              </a:graphicData>
            </a:graphic>
          </wp:inline>
        </w:drawing>
      </w:r>
    </w:p>
    <w:p w14:paraId="05F32F0D" w14:textId="24466E32" w:rsidR="0015079F" w:rsidRPr="0015079F" w:rsidRDefault="00A20AFF" w:rsidP="0015079F">
      <w:pPr>
        <w:pStyle w:val="IUCrfigurecaption"/>
      </w:pPr>
      <w:r>
        <w:t xml:space="preserve">Schematics showing the dedicated (a) LLNL and (b) DESY </w:t>
      </w:r>
      <w:proofErr w:type="spellStart"/>
      <w:r>
        <w:t>dDAC</w:t>
      </w:r>
      <w:proofErr w:type="spellEnd"/>
      <w:r>
        <w:t xml:space="preserve"> housings. In (a), the threaded cap can be tightened with a torque wrench via an adapter which is attached to the </w:t>
      </w:r>
      <w:proofErr w:type="spellStart"/>
      <w:r>
        <w:t>dDAC</w:t>
      </w:r>
      <w:proofErr w:type="spellEnd"/>
      <w:r>
        <w:t xml:space="preserve"> housing. In (b), a torque wrench coupled via a standard socket to the hexagonal stud. The high voltage connector is mounted to the body of the </w:t>
      </w:r>
      <w:proofErr w:type="spellStart"/>
      <w:r>
        <w:t>dDAC</w:t>
      </w:r>
      <w:proofErr w:type="spellEnd"/>
      <w:r>
        <w:t xml:space="preserve"> by a connector holder. A short-circuit connector with a 10 </w:t>
      </w:r>
      <w:proofErr w:type="spellStart"/>
      <w:r>
        <w:t>kΩ</w:t>
      </w:r>
      <w:proofErr w:type="spellEnd"/>
      <w:r>
        <w:t xml:space="preserve"> discharge resistor is connected during transport and storage</w:t>
      </w:r>
      <w:r w:rsidRPr="004742BD">
        <w:t xml:space="preserve"> to avoid unwanted build-up of charge.</w:t>
      </w:r>
    </w:p>
    <w:p w14:paraId="0356E736" w14:textId="77777777" w:rsidR="00A20AFF" w:rsidRPr="00B15D56" w:rsidRDefault="00A20AFF" w:rsidP="00A20AFF">
      <w:pPr>
        <w:pStyle w:val="IUCrheading2"/>
        <w:numPr>
          <w:ilvl w:val="1"/>
          <w:numId w:val="34"/>
        </w:numPr>
        <w:textAlignment w:val="auto"/>
      </w:pPr>
      <w:r>
        <w:t>Installation inside interaction chamber 2</w:t>
      </w:r>
    </w:p>
    <w:p w14:paraId="37F0B3D9" w14:textId="344DE2F5" w:rsidR="00A20AFF" w:rsidRDefault="00A20AFF" w:rsidP="00A20AFF">
      <w:pPr>
        <w:pStyle w:val="IUCrbodytext"/>
        <w:rPr>
          <w:rFonts w:eastAsia="Arial"/>
          <w:shd w:val="clear" w:color="FDFDFD" w:fill="FDFDFD"/>
        </w:rPr>
      </w:pPr>
      <w:r>
        <w:rPr>
          <w:rFonts w:eastAsia="Arial"/>
          <w:shd w:val="clear" w:color="FDFDFD" w:fill="FDFDFD"/>
        </w:rPr>
        <w:t xml:space="preserve">The </w:t>
      </w:r>
      <w:proofErr w:type="spellStart"/>
      <w:r>
        <w:rPr>
          <w:rFonts w:eastAsia="Arial"/>
          <w:shd w:val="clear" w:color="FDFDFD" w:fill="FDFDFD"/>
        </w:rPr>
        <w:t>dDAC</w:t>
      </w:r>
      <w:proofErr w:type="spellEnd"/>
      <w:r>
        <w:rPr>
          <w:rFonts w:eastAsia="Arial"/>
          <w:shd w:val="clear" w:color="FDFDFD" w:fill="FDFDFD"/>
        </w:rPr>
        <w:t xml:space="preserve"> set-up is installed and operated under vacuum in IC2. In this set-up, t</w:t>
      </w:r>
      <w:r w:rsidRPr="004742BD">
        <w:rPr>
          <w:rFonts w:eastAsia="Arial"/>
          <w:shd w:val="clear" w:color="FDFDFD" w:fill="FDFDFD"/>
        </w:rPr>
        <w:t xml:space="preserve">hree </w:t>
      </w:r>
      <w:proofErr w:type="spellStart"/>
      <w:r w:rsidRPr="004742BD">
        <w:rPr>
          <w:rFonts w:eastAsia="Arial"/>
          <w:shd w:val="clear" w:color="FDFDFD" w:fill="FDFDFD"/>
        </w:rPr>
        <w:t>dDAC</w:t>
      </w:r>
      <w:proofErr w:type="spellEnd"/>
      <w:r>
        <w:rPr>
          <w:rFonts w:eastAsia="Arial"/>
          <w:shd w:val="clear" w:color="FDFDFD" w:fill="FDFDFD"/>
        </w:rPr>
        <w:t xml:space="preserve"> drivers</w:t>
      </w:r>
      <w:r w:rsidRPr="004742BD">
        <w:rPr>
          <w:rFonts w:eastAsia="Arial"/>
          <w:shd w:val="clear" w:color="FDFDFD" w:fill="FDFDFD"/>
        </w:rPr>
        <w:t xml:space="preserve"> </w:t>
      </w:r>
      <w:r>
        <w:rPr>
          <w:rFonts w:eastAsia="Arial"/>
          <w:shd w:val="clear" w:color="FDFDFD" w:fill="FDFDFD"/>
        </w:rPr>
        <w:t>are</w:t>
      </w:r>
      <w:r w:rsidRPr="004742BD">
        <w:rPr>
          <w:rFonts w:eastAsia="Arial"/>
          <w:shd w:val="clear" w:color="FDFDFD" w:fill="FDFDFD"/>
        </w:rPr>
        <w:t xml:space="preserve"> </w:t>
      </w:r>
      <w:r>
        <w:rPr>
          <w:rFonts w:eastAsia="Arial"/>
          <w:shd w:val="clear" w:color="FDFDFD" w:fill="FDFDFD"/>
        </w:rPr>
        <w:t>mounted</w:t>
      </w:r>
      <w:r w:rsidRPr="004742BD">
        <w:rPr>
          <w:rFonts w:eastAsia="Arial"/>
          <w:shd w:val="clear" w:color="FDFDFD" w:fill="FDFDFD"/>
        </w:rPr>
        <w:t xml:space="preserve"> in a motorized, carousel-type revolver which sits on a kinematic mount on the sample stack </w:t>
      </w:r>
      <w:r>
        <w:rPr>
          <w:rFonts w:eastAsia="Arial"/>
          <w:shd w:val="clear" w:color="FDFDFD" w:fill="FDFDFD"/>
        </w:rPr>
        <w:t>of the DAC platform</w:t>
      </w:r>
      <w:r>
        <w:rPr>
          <w:rFonts w:eastAsia="Arial"/>
          <w:color w:val="000000" w:themeColor="text1"/>
          <w:shd w:val="clear" w:color="FDFDFD" w:fill="FDFDFD"/>
        </w:rPr>
        <w:t xml:space="preserve"> </w:t>
      </w:r>
      <w:r>
        <w:rPr>
          <w:rFonts w:eastAsia="Arial"/>
          <w:shd w:val="clear" w:color="FDFDFD" w:fill="FDFDFD"/>
        </w:rPr>
        <w:fldChar w:fldCharType="begin"/>
      </w:r>
      <w:r>
        <w:rPr>
          <w:rFonts w:eastAsia="Arial"/>
          <w:shd w:val="clear" w:color="FDFDFD" w:fill="FDFDFD"/>
        </w:rPr>
        <w:instrText xml:space="preserve"> ADDIN ZOTERO_ITEM CSL_CITATION {"citationID":"mUQNE7fM","properties":{"formattedCitation":"(Liermann {\\i{}et al.}, 2021)","plainCitation":"(Liermann et al., 2021)","noteIndex":0},"citationItems":[{"id":161,"uris":["http://zotero.org/users/local/dwaXvkNj/items/AB6562ZR"],"uri":["http://zotero.org/users/local/dwaXvkNj/items/AB6562ZR"],"itemData":{"id":161,"type":"article-journal","title":"Novel experimental setup for megahertz X-ray diffraction in a diamond anvil cell at the High Energy Density (HED) instrument of the European X-ray Free-Electron Laser (EuXFEL)","container-title":"Journal of Synchrotron Radiation","page":"688-706","volume":"28","issue":"3","source":"scripts.iucr.org","abstract":"The high-precision X-ray diffraction (XRD) setup for work with diamond anvil cells (DACs) in Interaction Chamber 2 of the High Energy Density (HED) instrument of the European X-ray Free-Electron Laser is described.","DOI":"10.1107/S1600577521002551","ISSN":"1600-5775","journalAbbreviation":"J. Synchrotron Rad.","language":"en","author":[{"family":"Liermann","given":"H. P."},{"family":"Konôpková","given":"Z."},{"family":"Appel","given":"K."},{"family":"Prescher","given":"C."},{"family":"Schropp","given":"A."},{"family":"Cerantola","given":"V."},{"family":"Husband","given":"R. J."},{"family":"McHardy","given":"J. D."},{"family":"McMahon","given":"M. I."},{"family":"McWilliams","given":"R. S."},{"family":"Pépin","given":"C. M."},{"family":"Mainberger","given":"J."},{"family":"Roeper","given":"M."},{"family":"Berghäuser","given":"A."},{"family":"Damker","given":"H."},{"family":"Talkovski","given":"P."},{"family":"Foese","given":"M."},{"family":"Kujala","given":"N."},{"family":"Ball","given":"O. B."},{"family":"Baron","given":"M. A."},{"family":"Briggs","given":"R."},{"family":"Bykov","given":"M."},{"family":"Bykova","given":"E."},{"family":"Chantel","given":"J."},{"family":"Coleman","given":"A. L."},{"family":"Cynn","given":"H."},{"family":"Dattelbaum","given":"D."},{"family":"Dresselhaus-Marais","given":"L. E."},{"family":"Eggert","given":"J. H."},{"family":"Ehm","given":"L."},{"family":"Evans","given":"W. J."},{"family":"Fiquet","given":"G."},{"family":"Frost","given":"M."},{"family":"Glazyrin","given":"K."},{"family":"Goncharov","given":"A. F."},{"family":"Hwang","given":"H."},{"family":"Jenei","given":"Z."},{"family":"Kim","given":"J.-Y."},{"family":"Langenhorst","given":"F."},{"family":"Lee","given":"Y."},{"family":"Makita","given":"M."},{"family":"Marquardt","given":"H."},{"family":"McBride","given":"E. E."},{"family":"Merkel","given":"S."},{"family":"Morard","given":"G."},{"family":"O'Bannon","given":"E. F."},{"family":"Otzen","given":"C."},{"family":"Pace","given":"E. J."},{"family":"Pelka","given":"A."},{"family":"Pigott","given":"J. S."},{"family":"Prakapenka","given":"V. B."},{"family":"Redmer","given":"R."},{"family":"Sanchez-Valle","given":"C."},{"family":"Schoelmerich","given":"M."},{"family":"Speziale","given":"S."},{"family":"Spiekermann","given":"G."},{"family":"Sturtevant","given":"B. T."},{"family":"Toleikis","given":"S."},{"family":"Velisavljevic","given":"N."},{"family":"Wilke","given":"M."},{"family":"Yoo","given":"C.-S."},{"family":"Baehtz","given":"C."},{"family":"Zastrau","given":"U."},{"family":"Strohm","given":"C."}],"issued":{"date-parts":[["2021",5,1]]}}}],"schema":"https://github.com/citation-style-language/schema/raw/master/csl-citation.json"} </w:instrText>
      </w:r>
      <w:r>
        <w:rPr>
          <w:rFonts w:eastAsia="Arial"/>
          <w:shd w:val="clear" w:color="FDFDFD" w:fill="FDFDFD"/>
        </w:rPr>
        <w:fldChar w:fldCharType="separate"/>
      </w:r>
      <w:r w:rsidRPr="001E360B">
        <w:t xml:space="preserve">(Liermann </w:t>
      </w:r>
      <w:r w:rsidRPr="001E360B">
        <w:rPr>
          <w:i/>
          <w:iCs/>
        </w:rPr>
        <w:t>et al.</w:t>
      </w:r>
      <w:r w:rsidRPr="001E360B">
        <w:t>, 2021)</w:t>
      </w:r>
      <w:r>
        <w:rPr>
          <w:rFonts w:eastAsia="Arial"/>
          <w:shd w:val="clear" w:color="FDFDFD" w:fill="FDFDFD"/>
        </w:rPr>
        <w:fldChar w:fldCharType="end"/>
      </w:r>
      <w:r w:rsidRPr="00FB1440">
        <w:rPr>
          <w:rFonts w:eastAsia="Arial"/>
          <w:color w:val="000000" w:themeColor="text1"/>
          <w:shd w:val="clear" w:color="FDFDFD" w:fill="FDFDFD"/>
        </w:rPr>
        <w:t xml:space="preserve"> </w:t>
      </w:r>
      <w:r w:rsidRPr="004742BD">
        <w:rPr>
          <w:rFonts w:eastAsia="Arial"/>
          <w:color w:val="000000" w:themeColor="text1"/>
          <w:shd w:val="clear" w:color="FDFDFD" w:fill="FDFDFD"/>
        </w:rPr>
        <w:t xml:space="preserve">(Fig. </w:t>
      </w:r>
      <w:r>
        <w:rPr>
          <w:rFonts w:eastAsia="Arial"/>
          <w:color w:val="000000" w:themeColor="text1"/>
          <w:shd w:val="clear" w:color="FDFDFD" w:fill="FDFDFD"/>
        </w:rPr>
        <w:t>2)</w:t>
      </w:r>
      <w:r>
        <w:rPr>
          <w:rFonts w:eastAsia="Arial"/>
          <w:shd w:val="clear" w:color="FDFDFD" w:fill="FDFDFD"/>
        </w:rPr>
        <w:t xml:space="preserve">. Switching between different </w:t>
      </w:r>
      <w:proofErr w:type="spellStart"/>
      <w:r>
        <w:rPr>
          <w:rFonts w:eastAsia="Arial"/>
          <w:shd w:val="clear" w:color="FDFDFD" w:fill="FDFDFD"/>
        </w:rPr>
        <w:t>dDACs</w:t>
      </w:r>
      <w:proofErr w:type="spellEnd"/>
      <w:r>
        <w:rPr>
          <w:rFonts w:eastAsia="Arial"/>
          <w:shd w:val="clear" w:color="FDFDFD" w:fill="FDFDFD"/>
        </w:rPr>
        <w:t xml:space="preserve"> is performed by rotating the revolver</w:t>
      </w:r>
      <w:r>
        <w:rPr>
          <w:rFonts w:eastAsia="Arial"/>
          <w:color w:val="000000" w:themeColor="text1"/>
          <w:shd w:val="clear" w:color="FDFDFD" w:fill="FDFDFD"/>
        </w:rPr>
        <w:t xml:space="preserve">, which reduces the time required for sample exchange (including the time required to vent and pump IC2). </w:t>
      </w:r>
      <w:r>
        <w:rPr>
          <w:rFonts w:eastAsia="Arial"/>
          <w:shd w:val="clear" w:color="FDFDFD" w:fill="FDFDFD"/>
        </w:rPr>
        <w:t>T</w:t>
      </w:r>
      <w:r w:rsidRPr="004742BD">
        <w:rPr>
          <w:rFonts w:eastAsia="Arial"/>
          <w:shd w:val="clear" w:color="FDFDFD" w:fill="FDFDFD"/>
        </w:rPr>
        <w:t>he</w:t>
      </w:r>
      <w:r>
        <w:rPr>
          <w:rFonts w:eastAsia="Arial"/>
          <w:shd w:val="clear" w:color="FDFDFD" w:fill="FDFDFD"/>
        </w:rPr>
        <w:t xml:space="preserve"> three</w:t>
      </w:r>
      <w:r w:rsidRPr="004742BD">
        <w:rPr>
          <w:rFonts w:eastAsia="Arial"/>
          <w:shd w:val="clear" w:color="FDFDFD" w:fill="FDFDFD"/>
        </w:rPr>
        <w:t xml:space="preserve"> </w:t>
      </w:r>
      <w:proofErr w:type="spellStart"/>
      <w:r w:rsidRPr="004742BD">
        <w:rPr>
          <w:rFonts w:eastAsia="Arial"/>
          <w:shd w:val="clear" w:color="FDFDFD" w:fill="FDFDFD"/>
        </w:rPr>
        <w:t>dDAC</w:t>
      </w:r>
      <w:r>
        <w:rPr>
          <w:rFonts w:eastAsia="Arial"/>
          <w:shd w:val="clear" w:color="FDFDFD" w:fill="FDFDFD"/>
        </w:rPr>
        <w:t>s</w:t>
      </w:r>
      <w:proofErr w:type="spellEnd"/>
      <w:r w:rsidRPr="004742BD">
        <w:rPr>
          <w:rFonts w:eastAsia="Arial"/>
          <w:shd w:val="clear" w:color="FDFDFD" w:fill="FDFDFD"/>
        </w:rPr>
        <w:t xml:space="preserve"> are mounted in </w:t>
      </w:r>
      <w:r>
        <w:rPr>
          <w:rFonts w:eastAsia="Arial"/>
          <w:shd w:val="clear" w:color="FDFDFD" w:fill="FDFDFD"/>
        </w:rPr>
        <w:t xml:space="preserve">an interchangeable insert </w:t>
      </w:r>
      <w:r>
        <w:rPr>
          <w:rFonts w:eastAsia="Arial"/>
          <w:shd w:val="clear" w:color="FDFDFD" w:fill="FDFDFD"/>
        </w:rPr>
        <w:lastRenderedPageBreak/>
        <w:t xml:space="preserve">specific to the </w:t>
      </w:r>
      <w:r w:rsidRPr="004742BD">
        <w:rPr>
          <w:rFonts w:eastAsia="Arial"/>
          <w:shd w:val="clear" w:color="FDFDFD" w:fill="FDFDFD"/>
        </w:rPr>
        <w:t xml:space="preserve">two different </w:t>
      </w:r>
      <w:proofErr w:type="spellStart"/>
      <w:r w:rsidRPr="004742BD">
        <w:rPr>
          <w:rFonts w:eastAsia="Arial"/>
          <w:shd w:val="clear" w:color="FDFDFD" w:fill="FDFDFD"/>
        </w:rPr>
        <w:t>dDAC</w:t>
      </w:r>
      <w:proofErr w:type="spellEnd"/>
      <w:r w:rsidRPr="004742BD">
        <w:rPr>
          <w:rFonts w:eastAsia="Arial"/>
          <w:shd w:val="clear" w:color="FDFDFD" w:fill="FDFDFD"/>
        </w:rPr>
        <w:t xml:space="preserve"> designs (DESY and LLNL)</w:t>
      </w:r>
      <w:r>
        <w:rPr>
          <w:rFonts w:eastAsia="Arial"/>
          <w:shd w:val="clear" w:color="FDFDFD" w:fill="FDFDFD"/>
        </w:rPr>
        <w:t xml:space="preserve">, </w:t>
      </w:r>
      <w:r w:rsidRPr="004742BD">
        <w:rPr>
          <w:rFonts w:eastAsia="Arial"/>
          <w:shd w:val="clear" w:color="FDFDFD" w:fill="FDFDFD"/>
        </w:rPr>
        <w:t>which can be exchanged without removing the entire revolver assembly. The inserts also feature three additional positions for reference and alignment samples, which typically consist of a diffraction standard for detector calibration (e.g. LaB</w:t>
      </w:r>
      <w:r w:rsidRPr="004742BD">
        <w:rPr>
          <w:rFonts w:eastAsia="Arial"/>
          <w:shd w:val="clear" w:color="FDFDFD" w:fill="FDFDFD"/>
          <w:vertAlign w:val="subscript"/>
        </w:rPr>
        <w:t>6</w:t>
      </w:r>
      <w:r w:rsidRPr="004742BD">
        <w:rPr>
          <w:rFonts w:eastAsia="Arial"/>
          <w:shd w:val="clear" w:color="FDFDFD" w:fill="FDFDFD"/>
        </w:rPr>
        <w:t xml:space="preserve">), a set of W round edges for focus characterization, and a YAG screen </w:t>
      </w:r>
      <w:r>
        <w:rPr>
          <w:rFonts w:eastAsia="Arial"/>
          <w:shd w:val="clear" w:color="FDFDFD" w:fill="FDFDFD"/>
        </w:rPr>
        <w:t xml:space="preserve">for visualization of </w:t>
      </w:r>
      <w:r w:rsidRPr="004742BD">
        <w:rPr>
          <w:rFonts w:eastAsia="Arial"/>
          <w:shd w:val="clear" w:color="FDFDFD" w:fill="FDFDFD"/>
        </w:rPr>
        <w:t>the XFEL beam</w:t>
      </w:r>
      <w:r>
        <w:rPr>
          <w:rFonts w:eastAsia="Arial"/>
          <w:shd w:val="clear" w:color="FDFDFD" w:fill="FDFDFD"/>
        </w:rPr>
        <w:t xml:space="preserve"> via X-ray fluorescence</w:t>
      </w:r>
      <w:r w:rsidRPr="004742BD">
        <w:rPr>
          <w:rFonts w:eastAsia="Arial"/>
          <w:shd w:val="clear" w:color="FDFDFD" w:fill="FDFDFD"/>
        </w:rPr>
        <w:t>.</w:t>
      </w:r>
      <w:r>
        <w:rPr>
          <w:rFonts w:eastAsia="Arial"/>
          <w:shd w:val="clear" w:color="FDFDFD" w:fill="FDFDFD"/>
        </w:rPr>
        <w:t xml:space="preserve"> When installed inside the chamber, the piezoelectric actuators of the three </w:t>
      </w:r>
      <w:proofErr w:type="spellStart"/>
      <w:r>
        <w:rPr>
          <w:rFonts w:eastAsia="Arial"/>
          <w:shd w:val="clear" w:color="FDFDFD" w:fill="FDFDFD"/>
        </w:rPr>
        <w:t>dDACs</w:t>
      </w:r>
      <w:proofErr w:type="spellEnd"/>
      <w:r>
        <w:rPr>
          <w:rFonts w:eastAsia="Arial"/>
          <w:shd w:val="clear" w:color="FDFDFD" w:fill="FDFDFD"/>
        </w:rPr>
        <w:t xml:space="preserve"> are connected to a high voltage switchbox via individual hermetic feedthroughs mounted on a CF-type flange, which allows for the amplifier output to be switched between different actuators at the switchbox (section 2.3). </w:t>
      </w:r>
    </w:p>
    <w:p w14:paraId="28304C46" w14:textId="77777777" w:rsidR="00A20AFF" w:rsidRPr="004742BD" w:rsidRDefault="00A20AFF" w:rsidP="00A20AFF">
      <w:pPr>
        <w:pStyle w:val="IUCrbodytext"/>
        <w:rPr>
          <w:color w:val="000000" w:themeColor="text1"/>
          <w:shd w:val="clear" w:color="FDFDFD" w:fill="FDFDFD"/>
        </w:rPr>
      </w:pPr>
      <w:r>
        <w:rPr>
          <w:shd w:val="clear" w:color="FDFDFD" w:fill="FDFDFD"/>
        </w:rPr>
        <w:t>Alignment of samples to the X-ray beam is performed using a</w:t>
      </w:r>
      <w:r w:rsidRPr="004742BD">
        <w:rPr>
          <w:shd w:val="clear" w:color="FDFDFD" w:fill="FDFDFD"/>
        </w:rPr>
        <w:t>n optical microscope (</w:t>
      </w:r>
      <w:proofErr w:type="spellStart"/>
      <w:r w:rsidRPr="004742BD">
        <w:rPr>
          <w:shd w:val="clear" w:color="FDFDFD" w:fill="FDFDFD"/>
        </w:rPr>
        <w:t>Navitar</w:t>
      </w:r>
      <w:proofErr w:type="spellEnd"/>
      <w:r w:rsidRPr="004742BD">
        <w:rPr>
          <w:shd w:val="clear" w:color="FDFDFD" w:fill="FDFDFD"/>
        </w:rPr>
        <w:t xml:space="preserve">) </w:t>
      </w:r>
      <w:r>
        <w:rPr>
          <w:shd w:val="clear" w:color="FDFDFD" w:fill="FDFDFD"/>
        </w:rPr>
        <w:t>equipped with a vacuum compatible camera (modified Basler</w:t>
      </w:r>
      <w:r w:rsidRPr="002F10D4">
        <w:rPr>
          <w:strike/>
          <w:color w:val="FF0000"/>
          <w:shd w:val="clear" w:color="FDFDFD" w:fill="FDFDFD"/>
        </w:rPr>
        <w:t xml:space="preserve"> *</w:t>
      </w:r>
      <w:r>
        <w:rPr>
          <w:shd w:val="clear" w:color="FDFDFD" w:fill="FDFDFD"/>
        </w:rPr>
        <w:t xml:space="preserve">), which </w:t>
      </w:r>
      <w:r w:rsidRPr="004742BD">
        <w:rPr>
          <w:shd w:val="clear" w:color="FDFDFD" w:fill="FDFDFD"/>
        </w:rPr>
        <w:t xml:space="preserve">is installed downstream </w:t>
      </w:r>
      <w:r>
        <w:rPr>
          <w:shd w:val="clear" w:color="FDFDFD" w:fill="FDFDFD"/>
        </w:rPr>
        <w:t>from</w:t>
      </w:r>
      <w:r w:rsidRPr="004742BD">
        <w:rPr>
          <w:shd w:val="clear" w:color="FDFDFD" w:fill="FDFDFD"/>
        </w:rPr>
        <w:t xml:space="preserve"> the </w:t>
      </w:r>
      <w:r>
        <w:rPr>
          <w:shd w:val="clear" w:color="FDFDFD" w:fill="FDFDFD"/>
        </w:rPr>
        <w:t xml:space="preserve">revolver </w:t>
      </w:r>
      <w:r w:rsidRPr="004742BD">
        <w:rPr>
          <w:shd w:val="clear" w:color="FDFDFD" w:fill="FDFDFD"/>
        </w:rPr>
        <w:t>(</w:t>
      </w:r>
      <w:r w:rsidRPr="004742BD">
        <w:rPr>
          <w:color w:val="000000" w:themeColor="text1"/>
          <w:shd w:val="clear" w:color="FDFDFD" w:fill="FDFDFD"/>
        </w:rPr>
        <w:t xml:space="preserve">Fig. </w:t>
      </w:r>
      <w:r>
        <w:rPr>
          <w:color w:val="000000" w:themeColor="text1"/>
          <w:shd w:val="clear" w:color="FDFDFD" w:fill="FDFDFD"/>
        </w:rPr>
        <w:t>2</w:t>
      </w:r>
      <w:r w:rsidRPr="004742BD">
        <w:rPr>
          <w:shd w:val="clear" w:color="FDFDFD" w:fill="FDFDFD"/>
        </w:rPr>
        <w:t>).</w:t>
      </w:r>
      <w:r>
        <w:rPr>
          <w:rFonts w:eastAsia="Arial"/>
          <w:shd w:val="clear" w:color="FDFDFD" w:fill="FDFDFD"/>
        </w:rPr>
        <w:t xml:space="preserve"> T</w:t>
      </w:r>
      <w:r w:rsidRPr="004742BD">
        <w:rPr>
          <w:color w:val="000000" w:themeColor="text1"/>
          <w:shd w:val="clear" w:color="FDFDFD" w:fill="FDFDFD"/>
        </w:rPr>
        <w:t xml:space="preserve">he microscope assembly </w:t>
      </w:r>
      <w:r>
        <w:rPr>
          <w:color w:val="000000" w:themeColor="text1"/>
          <w:shd w:val="clear" w:color="FDFDFD" w:fill="FDFDFD"/>
        </w:rPr>
        <w:t>is equipped with its own set of motorized translation stages which are used to align the camera to the X-ray beam,</w:t>
      </w:r>
      <w:r w:rsidRPr="004742BD">
        <w:rPr>
          <w:color w:val="000000" w:themeColor="text1"/>
          <w:shd w:val="clear" w:color="FDFDFD" w:fill="FDFDFD"/>
        </w:rPr>
        <w:t xml:space="preserve"> where the vertical translation stage </w:t>
      </w:r>
      <w:r>
        <w:rPr>
          <w:color w:val="000000" w:themeColor="text1"/>
          <w:shd w:val="clear" w:color="FDFDFD" w:fill="FDFDFD"/>
        </w:rPr>
        <w:t>additionally enables</w:t>
      </w:r>
      <w:r w:rsidRPr="004742BD">
        <w:rPr>
          <w:color w:val="000000" w:themeColor="text1"/>
          <w:shd w:val="clear" w:color="FDFDFD" w:fill="FDFDFD"/>
        </w:rPr>
        <w:t xml:space="preserve"> the objective to be removed from the beam path during data collection.</w:t>
      </w:r>
      <w:r>
        <w:rPr>
          <w:color w:val="000000" w:themeColor="text1"/>
          <w:shd w:val="clear" w:color="FDFDFD" w:fill="FDFDFD"/>
        </w:rPr>
        <w:t xml:space="preserve"> </w:t>
      </w:r>
      <w:r>
        <w:rPr>
          <w:rFonts w:eastAsia="Arial"/>
          <w:shd w:val="clear" w:color="FDFDFD" w:fill="FDFDFD"/>
        </w:rPr>
        <w:t xml:space="preserve">Sample alignment parallel and perpendicular to the X-ray beam is performed using the XYZ translation stages of the sample stack.  </w:t>
      </w:r>
    </w:p>
    <w:p w14:paraId="5FEAD4FF" w14:textId="7DB2F46D" w:rsidR="00A20AFF" w:rsidRPr="005D1948" w:rsidRDefault="00967C24" w:rsidP="00967C24">
      <w:pPr>
        <w:pStyle w:val="IUCrbodytext"/>
        <w:jc w:val="center"/>
      </w:pPr>
      <w:r>
        <w:rPr>
          <w:noProof/>
        </w:rPr>
        <w:drawing>
          <wp:inline distT="0" distB="0" distL="0" distR="0" wp14:anchorId="555807BC" wp14:editId="37F6C604">
            <wp:extent cx="5524500" cy="2604337"/>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31278" cy="2607532"/>
                    </a:xfrm>
                    <a:prstGeom prst="rect">
                      <a:avLst/>
                    </a:prstGeom>
                  </pic:spPr>
                </pic:pic>
              </a:graphicData>
            </a:graphic>
          </wp:inline>
        </w:drawing>
      </w:r>
    </w:p>
    <w:p w14:paraId="4EFA23FC" w14:textId="77777777" w:rsidR="00A20AFF" w:rsidRDefault="00A20AFF" w:rsidP="00A20AFF">
      <w:pPr>
        <w:pStyle w:val="IUCrfigurecaption"/>
        <w:rPr>
          <w:rFonts w:eastAsia="Arial"/>
          <w:bCs/>
          <w:shd w:val="clear" w:color="FDFDFD" w:fill="FDFDFD"/>
        </w:rPr>
      </w:pPr>
      <w:r>
        <w:rPr>
          <w:rFonts w:eastAsia="Arial"/>
          <w:bCs/>
          <w:shd w:val="clear" w:color="FDFDFD" w:fill="FDFDFD"/>
        </w:rPr>
        <w:t xml:space="preserve">3D models showing two different viewpoints of the revolver and microscope installation inside IC2. Three LLNL-type </w:t>
      </w:r>
      <w:proofErr w:type="spellStart"/>
      <w:r>
        <w:rPr>
          <w:rFonts w:eastAsia="Arial"/>
          <w:bCs/>
          <w:shd w:val="clear" w:color="FDFDFD" w:fill="FDFDFD"/>
        </w:rPr>
        <w:t>dDACs</w:t>
      </w:r>
      <w:proofErr w:type="spellEnd"/>
      <w:r>
        <w:rPr>
          <w:rFonts w:eastAsia="Arial"/>
          <w:bCs/>
          <w:shd w:val="clear" w:color="FDFDFD" w:fill="FDFDFD"/>
        </w:rPr>
        <w:t xml:space="preserve"> are installed in the revolver insert. The microscope is shown in the X-ray beam path for viewing the sample. </w:t>
      </w:r>
    </w:p>
    <w:p w14:paraId="6D436338" w14:textId="77777777" w:rsidR="00A20AFF" w:rsidRPr="00677747" w:rsidRDefault="00A20AFF" w:rsidP="00A20AFF">
      <w:pPr>
        <w:pStyle w:val="IUCrheading2"/>
        <w:numPr>
          <w:ilvl w:val="1"/>
          <w:numId w:val="34"/>
        </w:numPr>
        <w:textAlignment w:val="auto"/>
      </w:pPr>
      <w:r>
        <w:t>AGIPD</w:t>
      </w:r>
    </w:p>
    <w:p w14:paraId="1E5AE59D" w14:textId="6463C635" w:rsidR="000F771C" w:rsidRPr="0056303A" w:rsidRDefault="00A20AFF" w:rsidP="0056303A">
      <w:pPr>
        <w:pStyle w:val="IUCrfigurecaption"/>
        <w:numPr>
          <w:ilvl w:val="0"/>
          <w:numId w:val="0"/>
        </w:numPr>
      </w:pPr>
      <w:r w:rsidRPr="001657C9">
        <w:t xml:space="preserve">A 500K Adaptive Gain Integrating Pixel Detector (AGIPD) prototype </w:t>
      </w:r>
      <w:r w:rsidRPr="00520587">
        <w:fldChar w:fldCharType="begin"/>
      </w:r>
      <w:r>
        <w:instrText xml:space="preserve"> ADDIN ZOTERO_ITEM CSL_CITATION {"citationID":"yhoeHGji","properties":{"formattedCitation":"(Allahgholi {\\i{}et al.}, 2019)","plainCitation":"(Allahgholi et al., 2019)","noteIndex":0},"citationItems":[{"id":137,"uris":["http://zotero.org/users/local/dwaXvkNj/items/TD76PYKN"],"uri":["http://zotero.org/users/local/dwaXvkNj/items/TD76PYKN"],"itemData":{"id":137,"type":"article-journal","title":"The Adaptive Gain Integrating Pixel Detector at the European XFEL","container-title":"Journal of Synchrotron Radiation","page":"74-82","volume":"26","issue":"1","source":"scripts.iucr.org","abstract":"A description of the 1 million pixel AGIPD system in use at the SPB beamline of the European XFEL is given.","DOI":"10.1107/S1600577518016077","ISSN":"1600-5775","journalAbbreviation":"J. Synchrotron Rad.","language":"en","author":[{"family":"Allahgholi","given":"A."},{"family":"Becker","given":"J."},{"family":"Delfs","given":"A."},{"family":"Dinapoli","given":"R."},{"family":"Goettlicher","given":"P."},{"family":"Greiffenberg","given":"D."},{"family":"Henrich","given":"B."},{"family":"Hirsemann","given":"H."},{"family":"Kuhn","given":"M."},{"family":"Klanner","given":"R."},{"family":"Klyuev","given":"A."},{"family":"Krueger","given":"H."},{"family":"Lange","given":"S."},{"family":"Laurus","given":"T."},{"family":"Marras","given":"A."},{"family":"Mezza","given":"D."},{"family":"Mozzanica","given":"A."},{"family":"Niemann","given":"M."},{"family":"Poehlsen","given":"J."},{"family":"Schwandt","given":"J."},{"family":"Sheviakov","given":"I."},{"family":"Shi","given":"X."},{"family":"Smoljanin","given":"S."},{"family":"Steffen","given":"L."},{"family":"Sztuk-Dambietz","given":"J."},{"family":"Trunk","given":"U."},{"family":"Xia","given":"Q."},{"family":"Zeribi","given":"M."},{"family":"Zhang","given":"J."},{"family":"Zimmer","given":"M."},{"family":"Schmitt","given":"B."},{"family":"Graafsma","given":"H."}],"issued":{"date-parts":[["2019",1,1]]}}}],"schema":"https://github.com/citation-style-language/schema/raw/master/csl-citation.json"} </w:instrText>
      </w:r>
      <w:r w:rsidRPr="00520587">
        <w:fldChar w:fldCharType="separate"/>
      </w:r>
      <w:r w:rsidRPr="00675998">
        <w:rPr>
          <w:szCs w:val="24"/>
        </w:rPr>
        <w:t xml:space="preserve">(Allahgholi </w:t>
      </w:r>
      <w:r w:rsidRPr="00675998">
        <w:rPr>
          <w:i/>
          <w:iCs/>
          <w:szCs w:val="24"/>
        </w:rPr>
        <w:t>et al.</w:t>
      </w:r>
      <w:r w:rsidRPr="00675998">
        <w:rPr>
          <w:szCs w:val="24"/>
        </w:rPr>
        <w:t>, 2019)</w:t>
      </w:r>
      <w:r w:rsidRPr="00520587">
        <w:fldChar w:fldCharType="end"/>
      </w:r>
      <w:r w:rsidRPr="001657C9">
        <w:t xml:space="preserve"> </w:t>
      </w:r>
      <w:r>
        <w:t xml:space="preserve">is </w:t>
      </w:r>
      <w:r w:rsidRPr="001657C9">
        <w:t xml:space="preserve">used to collect pulse-resolved XRD images during compression. The AGIPD is capable of collecting up to 352 images at the maximum intra-train repetition rate (up to 4.5 MHz) and read out at the train repetition rate (10 Hz), allowing for XRD data to be collected from consecutive pulse trains. The AGIPD 500K consists of eight 128x512 pixel modules </w:t>
      </w:r>
      <w:r>
        <w:t>with</w:t>
      </w:r>
      <w:r w:rsidRPr="001657C9">
        <w:t xml:space="preserve"> Si sensors (500 µm thick) </w:t>
      </w:r>
      <w:r>
        <w:t xml:space="preserve">and a 200x200 </w:t>
      </w:r>
      <w:r>
        <w:lastRenderedPageBreak/>
        <w:t xml:space="preserve">µm pixel size </w:t>
      </w:r>
      <w:r w:rsidRPr="001657C9">
        <w:t>which are arranged in a 2 (horizontal) x 4 (vertical) configuration. Images collected when the pulse train is incident on the sample are subsequently extracted via the unique train ID. The AGIPD is positioned outside of IC2 on the detector bench, above the X-ray beam path. The detector bench allows for horizontal positioning of the AGIPD parallel and perpendicular to the X-ray beam. The back flange of IC2 is equipped with a 0.3 mm thick Al window, which has ~</w:t>
      </w:r>
      <w:r>
        <w:t>71</w:t>
      </w:r>
      <w:r w:rsidRPr="001657C9">
        <w:t xml:space="preserve"> % transmission at 18</w:t>
      </w:r>
      <w:r>
        <w:t>.1</w:t>
      </w:r>
      <w:r w:rsidRPr="001657C9">
        <w:t xml:space="preserve"> keV.</w:t>
      </w:r>
    </w:p>
    <w:p w14:paraId="0451CBF6" w14:textId="77777777" w:rsidR="00A20AFF" w:rsidRPr="00677747" w:rsidRDefault="00A20AFF" w:rsidP="00A20AFF">
      <w:pPr>
        <w:pStyle w:val="IUCrheading2"/>
        <w:numPr>
          <w:ilvl w:val="1"/>
          <w:numId w:val="34"/>
        </w:numPr>
        <w:textAlignment w:val="auto"/>
      </w:pPr>
      <w:r>
        <w:t>Electrical drive scheme</w:t>
      </w:r>
    </w:p>
    <w:p w14:paraId="131F101F" w14:textId="3F33C7BC" w:rsidR="0015079F" w:rsidRPr="0015079F" w:rsidRDefault="00A20AFF" w:rsidP="0015079F">
      <w:pPr>
        <w:pStyle w:val="IUCrbodytext"/>
        <w:rPr>
          <w:szCs w:val="22"/>
        </w:rPr>
      </w:pPr>
      <w:r w:rsidRPr="004742BD">
        <w:t xml:space="preserve">The </w:t>
      </w:r>
      <w:r>
        <w:t xml:space="preserve">piezoelectric actuators are controlled by an </w:t>
      </w:r>
      <w:r w:rsidRPr="004742BD">
        <w:t>electrical drive scheme (</w:t>
      </w:r>
      <w:r w:rsidRPr="004742BD">
        <w:rPr>
          <w:color w:val="000000" w:themeColor="text1"/>
        </w:rPr>
        <w:t xml:space="preserve">Fig. </w:t>
      </w:r>
      <w:r>
        <w:rPr>
          <w:color w:val="000000" w:themeColor="text1"/>
        </w:rPr>
        <w:t>3</w:t>
      </w:r>
      <w:r w:rsidRPr="004742BD">
        <w:t>) consist</w:t>
      </w:r>
      <w:r>
        <w:t>ing</w:t>
      </w:r>
      <w:r w:rsidRPr="004742BD">
        <w:t xml:space="preserve"> of a waveform generator (</w:t>
      </w:r>
      <w:r>
        <w:t>Keysight</w:t>
      </w:r>
      <w:r w:rsidRPr="004742BD">
        <w:t xml:space="preserve"> 33522B), a high voltage amplifier (HV-RCV 1000/7), and </w:t>
      </w:r>
      <w:r>
        <w:t>a</w:t>
      </w:r>
      <w:r w:rsidRPr="004742BD">
        <w:t xml:space="preserve"> high voltage switch box</w:t>
      </w:r>
      <w:r>
        <w:t xml:space="preserve"> designed in-house at DESY</w:t>
      </w:r>
      <w:r w:rsidRPr="004742BD">
        <w:t xml:space="preserve">. The switch box </w:t>
      </w:r>
      <w:r>
        <w:t>commutates</w:t>
      </w:r>
      <w:r w:rsidRPr="004742BD">
        <w:t xml:space="preserve"> the amplifier output</w:t>
      </w:r>
      <w:r>
        <w:t xml:space="preserve"> </w:t>
      </w:r>
      <w:r w:rsidRPr="004742BD">
        <w:t xml:space="preserve">between three different piezoelectric actuators and a 20 µF internal capacitor, </w:t>
      </w:r>
      <w:r>
        <w:t>and</w:t>
      </w:r>
      <w:r w:rsidRPr="004742BD">
        <w:t xml:space="preserve"> prevents switching at high voltage</w:t>
      </w:r>
      <w:r>
        <w:t xml:space="preserve"> to avoid the piezoelectric actuators remaining charged after they are disconnected from the amplifier</w:t>
      </w:r>
      <w:r w:rsidRPr="004742BD">
        <w:t xml:space="preserve">. Piezoelectric actuators are short-circuited via a 10 </w:t>
      </w:r>
      <w:proofErr w:type="spellStart"/>
      <w:r w:rsidRPr="004742BD">
        <w:t>k</w:t>
      </w:r>
      <w:r>
        <w:t>Ω</w:t>
      </w:r>
      <w:proofErr w:type="spellEnd"/>
      <w:r w:rsidRPr="004742BD">
        <w:t xml:space="preserve"> discharge resistor when disconnected from the amplifier to avoid unwanted build-up of charge</w:t>
      </w:r>
      <w:r>
        <w:t xml:space="preserve"> during storage, handling, pre-compression, and loading into the revolver insert</w:t>
      </w:r>
      <w:r w:rsidRPr="004742BD">
        <w:t xml:space="preserve">. </w:t>
      </w:r>
      <w:r w:rsidR="009E102D">
        <w:rPr>
          <w:noProof/>
          <w:szCs w:val="22"/>
        </w:rPr>
        <w:drawing>
          <wp:inline distT="0" distB="0" distL="0" distR="0" wp14:anchorId="40825435" wp14:editId="47001F67">
            <wp:extent cx="5731510" cy="204660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046605"/>
                    </a:xfrm>
                    <a:prstGeom prst="rect">
                      <a:avLst/>
                    </a:prstGeom>
                  </pic:spPr>
                </pic:pic>
              </a:graphicData>
            </a:graphic>
          </wp:inline>
        </w:drawing>
      </w:r>
    </w:p>
    <w:p w14:paraId="31917BA0" w14:textId="24D37E05" w:rsidR="0015079F" w:rsidRDefault="0015079F" w:rsidP="00A20AFF">
      <w:pPr>
        <w:pStyle w:val="IUCrfigurecaption"/>
      </w:pPr>
      <w:r>
        <w:t xml:space="preserve">Electrical drive scheme of the </w:t>
      </w:r>
      <w:proofErr w:type="spellStart"/>
      <w:r>
        <w:t>dDAC</w:t>
      </w:r>
      <w:proofErr w:type="spellEnd"/>
      <w:r>
        <w:t xml:space="preserve"> driver. </w:t>
      </w:r>
    </w:p>
    <w:p w14:paraId="11869B96" w14:textId="6EF469F3" w:rsidR="00A20AFF" w:rsidRPr="004742BD" w:rsidRDefault="00A20AFF" w:rsidP="00A20AFF">
      <w:pPr>
        <w:pStyle w:val="IUCrbodytext"/>
      </w:pPr>
      <w:r w:rsidRPr="004742BD">
        <w:t>European XFEL provides pulse trains at a 10 Hz repetition rate, where each pulse train has a duration of ≤</w:t>
      </w:r>
      <w:r>
        <w:t>55</w:t>
      </w:r>
      <w:r w:rsidRPr="004742BD">
        <w:t xml:space="preserve">0 µs and an intra-train </w:t>
      </w:r>
      <w:r>
        <w:t xml:space="preserve">pulse </w:t>
      </w:r>
      <w:r w:rsidRPr="004742BD">
        <w:t>repetition rate of 4.5</w:t>
      </w:r>
      <w:r w:rsidR="00E456A8" w:rsidRPr="00E456A8">
        <w:rPr>
          <w:i/>
        </w:rPr>
        <w:t>/n</w:t>
      </w:r>
      <w:r w:rsidRPr="004742BD">
        <w:t xml:space="preserve"> </w:t>
      </w:r>
      <w:r>
        <w:t>M</w:t>
      </w:r>
      <w:r w:rsidRPr="004742BD">
        <w:t>Hz</w:t>
      </w:r>
      <w:r w:rsidR="00E456A8">
        <w:t xml:space="preserve">, where </w:t>
      </w:r>
      <w:r w:rsidR="00E456A8" w:rsidRPr="00E456A8">
        <w:rPr>
          <w:i/>
        </w:rPr>
        <w:t>n</w:t>
      </w:r>
      <w:r w:rsidR="00E456A8">
        <w:t xml:space="preserve"> is an integer </w:t>
      </w:r>
      <w:r w:rsidRPr="004742BD">
        <w:t>(i.e. 2.2, 1.1, 0.5, ... MHz). Synchronization of the drive voltage and the X-ray trains is achieved using the XFEL timing system, which provides 10 Hz</w:t>
      </w:r>
      <w:r>
        <w:t xml:space="preserve"> trigger</w:t>
      </w:r>
      <w:r w:rsidRPr="004742BD">
        <w:t xml:space="preserve"> signals synchronised to the XFEL train</w:t>
      </w:r>
      <w:r>
        <w:t>s</w:t>
      </w:r>
      <w:r w:rsidRPr="004742BD">
        <w:t>.</w:t>
      </w:r>
      <w:r>
        <w:t xml:space="preserve"> A deterministic scheme is used to trigger the </w:t>
      </w:r>
      <w:r w:rsidRPr="004742BD">
        <w:t>waveform generator and pulse picker unit (PPU)</w:t>
      </w:r>
      <w:r>
        <w:t xml:space="preserve"> on a specific train ID, which allows for a </w:t>
      </w:r>
      <w:r w:rsidRPr="004742BD">
        <w:t xml:space="preserve">single pulse train with a unique train ID </w:t>
      </w:r>
      <w:r>
        <w:t>to be transmitted to the sample</w:t>
      </w:r>
      <w:r w:rsidRPr="004742BD">
        <w:t>.</w:t>
      </w:r>
      <w:r>
        <w:t xml:space="preserve"> </w:t>
      </w:r>
      <w:r w:rsidRPr="004742BD">
        <w:t>The trigger</w:t>
      </w:r>
      <w:r>
        <w:t xml:space="preserve"> signal</w:t>
      </w:r>
      <w:r w:rsidRPr="004742BD">
        <w:t xml:space="preserve"> for the waveform generator has a</w:t>
      </w:r>
      <w:r>
        <w:t xml:space="preserve"> local</w:t>
      </w:r>
      <w:r w:rsidRPr="004742BD">
        <w:t xml:space="preserve"> adjustable delay, </w:t>
      </w:r>
      <w:r>
        <w:t>so that</w:t>
      </w:r>
      <w:r w:rsidRPr="004742BD">
        <w:t xml:space="preserve"> data </w:t>
      </w:r>
      <w:r>
        <w:t>can</w:t>
      </w:r>
      <w:r w:rsidRPr="004742BD">
        <w:t xml:space="preserve"> be collected during different portions of the compression cycle. In the simplest mode of operation, timing of the voltage waveform is controlled by a single trigger signal (i.e. the waveform continues until completion) and data are collected using a single pulse train. Alternatively, the waveform can be </w:t>
      </w:r>
      <w:r w:rsidRPr="004742BD">
        <w:lastRenderedPageBreak/>
        <w:t xml:space="preserve">defined in multiple segments which </w:t>
      </w:r>
      <w:r>
        <w:t>are</w:t>
      </w:r>
      <w:r w:rsidRPr="004742BD">
        <w:t xml:space="preserve"> trigger</w:t>
      </w:r>
      <w:r>
        <w:t>ed individually</w:t>
      </w:r>
      <w:r w:rsidRPr="004742BD">
        <w:t xml:space="preserve">, so that data can be collected </w:t>
      </w:r>
      <w:r>
        <w:t>during</w:t>
      </w:r>
      <w:r w:rsidRPr="004742BD">
        <w:t xml:space="preserve"> several different </w:t>
      </w:r>
      <w:r>
        <w:t>sections</w:t>
      </w:r>
      <w:r w:rsidRPr="004742BD">
        <w:t xml:space="preserve"> </w:t>
      </w:r>
      <w:r>
        <w:t>of</w:t>
      </w:r>
      <w:r w:rsidRPr="004742BD">
        <w:t xml:space="preserve"> a compression cycle (e.g. during compression, hold, and decompression)</w:t>
      </w:r>
      <w:r>
        <w:t xml:space="preserve">. The experimental parameters can then be adjusted before the start of each individual segment such as the position of the sample in the XFEL beam (e.g. if the sample moved during compression), the X-ray intensity (i.e. beam attenuation), and the delay of the voltage waveform with respect to the start of the XFEL pulse train. </w:t>
      </w:r>
    </w:p>
    <w:p w14:paraId="1FDDFA9B" w14:textId="77777777" w:rsidR="00A20AFF" w:rsidRPr="00782FD7" w:rsidRDefault="00A20AFF" w:rsidP="00A20AFF">
      <w:pPr>
        <w:pStyle w:val="IUCrheading1"/>
        <w:numPr>
          <w:ilvl w:val="0"/>
          <w:numId w:val="34"/>
        </w:numPr>
        <w:textAlignment w:val="auto"/>
      </w:pPr>
      <w:r>
        <w:t>Dynamic compression experiments: Experimental details</w:t>
      </w:r>
    </w:p>
    <w:p w14:paraId="21E3C0E9" w14:textId="77777777" w:rsidR="00A20AFF" w:rsidRPr="000F2D5D" w:rsidRDefault="00A20AFF" w:rsidP="00A20AFF">
      <w:pPr>
        <w:pStyle w:val="IUCrheading2"/>
        <w:numPr>
          <w:ilvl w:val="1"/>
          <w:numId w:val="34"/>
        </w:numPr>
        <w:textAlignment w:val="auto"/>
      </w:pPr>
      <w:r>
        <w:t>Overview</w:t>
      </w:r>
    </w:p>
    <w:p w14:paraId="2E8A7156" w14:textId="3DA118D6" w:rsidR="00E36B1A" w:rsidRPr="00137C5E" w:rsidRDefault="00A20AFF" w:rsidP="00A20AFF">
      <w:pPr>
        <w:pStyle w:val="IUCrbodytext"/>
        <w:rPr>
          <w:rFonts w:eastAsia="Arial"/>
          <w:color w:val="FF0000"/>
        </w:rPr>
      </w:pPr>
      <w:r w:rsidRPr="004742BD">
        <w:rPr>
          <w:rFonts w:eastAsia="Arial"/>
        </w:rPr>
        <w:t xml:space="preserve">The capabilities of this platform are illustrated by experiments on 5 different sample systems (Table 1). Results from experiments on Au are </w:t>
      </w:r>
      <w:r>
        <w:rPr>
          <w:rFonts w:eastAsia="Arial"/>
        </w:rPr>
        <w:t xml:space="preserve">first </w:t>
      </w:r>
      <w:r w:rsidRPr="004742BD">
        <w:rPr>
          <w:rFonts w:eastAsia="Arial"/>
        </w:rPr>
        <w:t xml:space="preserve">presented to illustrate the approach taken to minimise sample heating during data collection. This is followed by results from compression experiments on 4 different phase transforming materials: </w:t>
      </w:r>
      <w:r>
        <w:rPr>
          <w:rFonts w:eastAsia="Arial"/>
        </w:rPr>
        <w:t xml:space="preserve">Bi, </w:t>
      </w:r>
      <w:proofErr w:type="spellStart"/>
      <w:r>
        <w:rPr>
          <w:rFonts w:eastAsia="Arial"/>
        </w:rPr>
        <w:t>Ti</w:t>
      </w:r>
      <w:proofErr w:type="spellEnd"/>
      <w:r>
        <w:rPr>
          <w:rFonts w:eastAsia="Arial"/>
        </w:rPr>
        <w:t xml:space="preserve">, </w:t>
      </w:r>
      <w:r w:rsidRPr="004742BD">
        <w:rPr>
          <w:rFonts w:eastAsia="Arial"/>
        </w:rPr>
        <w:t>N</w:t>
      </w:r>
      <w:r w:rsidRPr="004742BD">
        <w:rPr>
          <w:rFonts w:eastAsia="Arial"/>
          <w:vertAlign w:val="subscript"/>
        </w:rPr>
        <w:t>2</w:t>
      </w:r>
      <w:r w:rsidRPr="004742BD">
        <w:rPr>
          <w:rFonts w:eastAsia="Arial"/>
        </w:rPr>
        <w:t>,</w:t>
      </w:r>
      <w:r>
        <w:rPr>
          <w:rFonts w:eastAsia="Arial"/>
        </w:rPr>
        <w:t xml:space="preserve"> and </w:t>
      </w:r>
      <w:r w:rsidRPr="004742BD">
        <w:rPr>
          <w:rFonts w:eastAsia="Arial"/>
        </w:rPr>
        <w:t>H</w:t>
      </w:r>
      <w:r w:rsidRPr="004742BD">
        <w:rPr>
          <w:rFonts w:eastAsia="Arial"/>
          <w:vertAlign w:val="subscript"/>
        </w:rPr>
        <w:t>2</w:t>
      </w:r>
      <w:r w:rsidRPr="004742BD">
        <w:rPr>
          <w:rFonts w:eastAsia="Arial"/>
        </w:rPr>
        <w:t xml:space="preserve">O. Experiments were designed to target one or two </w:t>
      </w:r>
      <w:r w:rsidRPr="001A2EC5">
        <w:rPr>
          <w:rFonts w:eastAsia="Arial"/>
          <w:color w:val="000000" w:themeColor="text1"/>
        </w:rPr>
        <w:t>different phase</w:t>
      </w:r>
      <w:r w:rsidR="006C0291" w:rsidRPr="001A2EC5">
        <w:rPr>
          <w:rFonts w:eastAsia="Arial"/>
          <w:strike/>
          <w:color w:val="000000" w:themeColor="text1"/>
        </w:rPr>
        <w:t>s</w:t>
      </w:r>
      <w:r w:rsidRPr="001A2EC5">
        <w:rPr>
          <w:rFonts w:eastAsia="Arial"/>
          <w:color w:val="000000" w:themeColor="text1"/>
        </w:rPr>
        <w:t xml:space="preserve"> transitions in each material, which are highlighted in their respective phase diagrams in Fig. 4.</w:t>
      </w:r>
      <w:bookmarkStart w:id="11" w:name="_Hlk132729285"/>
      <w:r w:rsidRPr="001A2EC5">
        <w:rPr>
          <w:rFonts w:eastAsia="Arial"/>
          <w:color w:val="000000" w:themeColor="text1"/>
        </w:rPr>
        <w:t xml:space="preserve"> </w:t>
      </w:r>
      <w:bookmarkStart w:id="12" w:name="_Hlk132116199"/>
      <w:r w:rsidR="001A48B0" w:rsidRPr="001A2EC5">
        <w:rPr>
          <w:rFonts w:eastAsia="Arial"/>
          <w:color w:val="000000" w:themeColor="text1"/>
        </w:rPr>
        <w:t>For</w:t>
      </w:r>
      <w:r w:rsidR="00137C5E" w:rsidRPr="001A2EC5">
        <w:rPr>
          <w:rFonts w:eastAsia="Arial"/>
          <w:color w:val="000000" w:themeColor="text1"/>
        </w:rPr>
        <w:t xml:space="preserve"> each </w:t>
      </w:r>
      <w:r w:rsidR="001A48B0" w:rsidRPr="001A2EC5">
        <w:rPr>
          <w:rFonts w:eastAsia="Arial"/>
          <w:color w:val="000000" w:themeColor="text1"/>
        </w:rPr>
        <w:t>sample</w:t>
      </w:r>
      <w:r w:rsidR="00137C5E" w:rsidRPr="001A2EC5">
        <w:rPr>
          <w:rFonts w:eastAsia="Arial"/>
          <w:color w:val="000000" w:themeColor="text1"/>
        </w:rPr>
        <w:t xml:space="preserve">, an internal </w:t>
      </w:r>
      <w:r w:rsidR="004440FC" w:rsidRPr="001A2EC5">
        <w:rPr>
          <w:rFonts w:eastAsia="Arial"/>
          <w:color w:val="000000" w:themeColor="text1"/>
        </w:rPr>
        <w:t xml:space="preserve">diffraction </w:t>
      </w:r>
      <w:r w:rsidR="00137C5E" w:rsidRPr="001A2EC5">
        <w:rPr>
          <w:rFonts w:eastAsia="Arial"/>
          <w:color w:val="000000" w:themeColor="text1"/>
        </w:rPr>
        <w:t>calibrant was added to the sample chamber for independent pressure determination.</w:t>
      </w:r>
      <w:r w:rsidR="004440FC" w:rsidRPr="001A2EC5">
        <w:rPr>
          <w:rFonts w:eastAsia="Arial"/>
          <w:color w:val="000000" w:themeColor="text1"/>
        </w:rPr>
        <w:t xml:space="preserve"> Previous work has shown that internal diffraction standards can be used for </w:t>
      </w:r>
      <w:proofErr w:type="spellStart"/>
      <w:r w:rsidR="004440FC" w:rsidRPr="001A2EC5">
        <w:rPr>
          <w:rFonts w:eastAsia="Arial"/>
          <w:color w:val="000000" w:themeColor="text1"/>
        </w:rPr>
        <w:t>dDAC</w:t>
      </w:r>
      <w:proofErr w:type="spellEnd"/>
      <w:r w:rsidR="004440FC" w:rsidRPr="001A2EC5">
        <w:rPr>
          <w:rFonts w:eastAsia="Arial"/>
          <w:color w:val="000000" w:themeColor="text1"/>
        </w:rPr>
        <w:t xml:space="preserve"> experiments on samples loaded with a PTM, provided that the sample</w:t>
      </w:r>
      <w:r w:rsidR="00C4722D" w:rsidRPr="001A2EC5">
        <w:rPr>
          <w:rFonts w:eastAsia="Arial"/>
          <w:color w:val="000000" w:themeColor="text1"/>
        </w:rPr>
        <w:t>/pressure marker assembly</w:t>
      </w:r>
      <w:r w:rsidR="004440FC" w:rsidRPr="001A2EC5">
        <w:rPr>
          <w:rFonts w:eastAsia="Arial"/>
          <w:color w:val="000000" w:themeColor="text1"/>
        </w:rPr>
        <w:t xml:space="preserve"> remains hydrostatic during compression</w:t>
      </w:r>
      <w:r w:rsidR="003811F2" w:rsidRPr="001A2EC5">
        <w:rPr>
          <w:rFonts w:eastAsia="Arial"/>
          <w:color w:val="000000" w:themeColor="text1"/>
        </w:rPr>
        <w:t xml:space="preserve"> </w:t>
      </w:r>
      <w:r w:rsidR="003811F2" w:rsidRPr="001A2EC5">
        <w:rPr>
          <w:rFonts w:eastAsia="Arial"/>
          <w:color w:val="000000" w:themeColor="text1"/>
        </w:rPr>
        <w:fldChar w:fldCharType="begin"/>
      </w:r>
      <w:r w:rsidR="003811F2" w:rsidRPr="001A2EC5">
        <w:rPr>
          <w:rFonts w:eastAsia="Arial"/>
          <w:color w:val="000000" w:themeColor="text1"/>
        </w:rPr>
        <w:instrText xml:space="preserve"> ADDIN ZOTERO_ITEM CSL_CITATION {"citationID":"oJYZ3VES","properties":{"formattedCitation":"(Husband, O\\uc0\\u8217{}Bannon {\\i{}et al.}, 2021)","plainCitation":"(Husband, O’Bannon et al., 2021)","noteIndex":0},"citationItems":[{"id":121,"uris":["http://zotero.org/users/local/dwaXvkNj/items/8B3LT9HW"],"uri":["http://zotero.org/users/local/dwaXvkNj/items/8B3LT9HW"],"itemData":{"id":121,"type":"article-journal","title":"Compression-rate dependence of pressure-induced phase transitions in Bi","container-title":"Scientific Reports","page":"14859","volume":"11","issue":"1","source":"www.nature.com","abstract":"It is qualitatively well known that kinetics related to nucleation and growth can shift apparent phase boundaries from their equilibrium value. In this work, we have measured this effect in Bi using time-resolved X-ray diffraction with unprecedented 0.25 ms time resolution, accurately determining phase transition pressures at compression rates spanning five orders of magnitude (10–2–103 GPa/s) using the dynamic diamond anvil cell. An over-pressurization of the Bi-III/Bi-V phase boundary is observed at fast compression rates for different sample types and stress states, and the largest over-pressurization that is observed is ΔP = 2.5 GPa. The work presented here paves the way for future studies of transition kinetics at previously inaccessible compression rates.","DOI":"10.1038/s41598-021-94260-y","ISSN":"2045-2322","journalAbbreviation":"Sci. Rep.","language":"en","author":[{"family":"Husband","given":"Rachel J."},{"family":"O’Bannon","given":"Earl F."},{"family":"Liermann","given":"Hanns-Peter"},{"family":"Lipp","given":"Magnus J."},{"family":"Méndez","given":"Alba S. J."},{"family":"Konôpková","given":"Zuzana"},{"family":"McBride","given":"Emma E."},{"family":"Evans","given":"William J."},{"family":"Jenei","given":"Zsolt"}],"issued":{"date-parts":[["2021",7,21]]}}}],"schema":"https://github.com/citation-style-language/schema/raw/master/csl-citation.json"} </w:instrText>
      </w:r>
      <w:r w:rsidR="003811F2" w:rsidRPr="001A2EC5">
        <w:rPr>
          <w:rFonts w:eastAsia="Arial"/>
          <w:color w:val="000000" w:themeColor="text1"/>
        </w:rPr>
        <w:fldChar w:fldCharType="separate"/>
      </w:r>
      <w:r w:rsidR="003811F2" w:rsidRPr="001A2EC5">
        <w:rPr>
          <w:color w:val="000000" w:themeColor="text1"/>
        </w:rPr>
        <w:t xml:space="preserve">(Husband, O’Bannon </w:t>
      </w:r>
      <w:r w:rsidR="003811F2" w:rsidRPr="001A2EC5">
        <w:rPr>
          <w:i/>
          <w:iCs/>
          <w:color w:val="000000" w:themeColor="text1"/>
        </w:rPr>
        <w:t>et al.</w:t>
      </w:r>
      <w:r w:rsidR="003811F2" w:rsidRPr="001A2EC5">
        <w:rPr>
          <w:color w:val="000000" w:themeColor="text1"/>
        </w:rPr>
        <w:t>, 2021)</w:t>
      </w:r>
      <w:r w:rsidR="003811F2" w:rsidRPr="001A2EC5">
        <w:rPr>
          <w:rFonts w:eastAsia="Arial"/>
          <w:color w:val="000000" w:themeColor="text1"/>
        </w:rPr>
        <w:fldChar w:fldCharType="end"/>
      </w:r>
      <w:r w:rsidR="004440FC" w:rsidRPr="001A2EC5">
        <w:rPr>
          <w:rFonts w:eastAsia="Arial"/>
          <w:color w:val="000000" w:themeColor="text1"/>
        </w:rPr>
        <w:t xml:space="preserve">. </w:t>
      </w:r>
      <w:r w:rsidR="0096341E" w:rsidRPr="001A2EC5">
        <w:rPr>
          <w:rFonts w:eastAsia="Arial"/>
          <w:color w:val="000000" w:themeColor="text1"/>
        </w:rPr>
        <w:t>However, i</w:t>
      </w:r>
      <w:r w:rsidR="004440FC" w:rsidRPr="001A2EC5">
        <w:rPr>
          <w:rFonts w:eastAsia="Arial"/>
          <w:color w:val="000000" w:themeColor="text1"/>
        </w:rPr>
        <w:t>n</w:t>
      </w:r>
      <w:r w:rsidR="0096341E" w:rsidRPr="001A2EC5">
        <w:rPr>
          <w:rFonts w:eastAsia="Arial"/>
          <w:color w:val="000000" w:themeColor="text1"/>
        </w:rPr>
        <w:t xml:space="preserve"> most of</w:t>
      </w:r>
      <w:r w:rsidR="004440FC" w:rsidRPr="001A2EC5">
        <w:rPr>
          <w:rFonts w:eastAsia="Arial"/>
          <w:color w:val="000000" w:themeColor="text1"/>
        </w:rPr>
        <w:t xml:space="preserve"> the runs described here, </w:t>
      </w:r>
      <w:r w:rsidR="00137C5E" w:rsidRPr="001A2EC5">
        <w:rPr>
          <w:rFonts w:eastAsia="Arial"/>
          <w:color w:val="000000" w:themeColor="text1"/>
        </w:rPr>
        <w:t xml:space="preserve">diffraction from the calibrant </w:t>
      </w:r>
      <w:r w:rsidR="004440FC" w:rsidRPr="001A2EC5">
        <w:rPr>
          <w:rFonts w:eastAsia="Arial"/>
          <w:color w:val="000000" w:themeColor="text1"/>
        </w:rPr>
        <w:t xml:space="preserve">was unfortunately not observed either because the diffracted signal was too weak, or due to peak overlap with reflections from the sample or gasket. </w:t>
      </w:r>
      <w:bookmarkEnd w:id="11"/>
    </w:p>
    <w:p w14:paraId="396C71C1" w14:textId="55D0E1AF" w:rsidR="00A20AFF" w:rsidRPr="001A2EC5" w:rsidRDefault="00A20AFF" w:rsidP="00A20AFF">
      <w:pPr>
        <w:pStyle w:val="IUCrbodytext"/>
        <w:rPr>
          <w:rFonts w:eastAsia="Arial"/>
          <w:color w:val="000000" w:themeColor="text1"/>
        </w:rPr>
      </w:pPr>
      <w:r w:rsidRPr="004742BD">
        <w:rPr>
          <w:rFonts w:eastAsia="Arial"/>
        </w:rPr>
        <w:t xml:space="preserve">Samples </w:t>
      </w:r>
      <w:r w:rsidRPr="001A2EC5">
        <w:rPr>
          <w:rFonts w:eastAsia="Arial"/>
          <w:color w:val="000000" w:themeColor="text1"/>
        </w:rPr>
        <w:t xml:space="preserve">were screened at the Extreme Conditions Beamline (P02.2) </w:t>
      </w:r>
      <w:r w:rsidRPr="001A2EC5">
        <w:rPr>
          <w:rFonts w:eastAsia="Arial"/>
          <w:color w:val="000000" w:themeColor="text1"/>
        </w:rPr>
        <w:fldChar w:fldCharType="begin"/>
      </w:r>
      <w:r w:rsidRPr="001A2EC5">
        <w:rPr>
          <w:rFonts w:eastAsia="Arial"/>
          <w:color w:val="000000" w:themeColor="text1"/>
        </w:rPr>
        <w:instrText xml:space="preserve"> ADDIN ZOTERO_ITEM CSL_CITATION {"citationID":"X9MuVLAo","properties":{"formattedCitation":"(Liermann {\\i{}et al.}, 2015)","plainCitation":"(Liermann et al., 2015)","noteIndex":0},"citationItems":[{"id":49,"uris":["http://zotero.org/users/local/dwaXvkNj/items/43MM358T"],"uri":["http://zotero.org/users/local/dwaXvkNj/items/43MM358T"],"itemData":{"id":49,"type":"article-journal","title":"The Extreme Conditions Beamline P02.2 and the Extreme Conditions Science Infrastructure at PETRA III","container-title":"Journal of Synchrotron Radiation","page":"908-924","volume":"22","issue":"4","source":"journals.iucr.org","abstract":"A detailed description is presented of the Extreme Conditions Beamline P02.2 for micro X-ray diffraction studies of matter at simultaneous high pressure and high/low temperatures at PETRA III, in Hamburg, Germany. This includes performance of the X-ray optics and instrumental resolution as well as an overview of the different sample environments available for high-pressure studies in the diamond anvil cell. Particularly emphasized are the high-brilliance and high-energy X-ray diffraction capabilities of the beamline in conjunction with the use of fast area detectors to conduct time-resolved compression studies in the millisecond time regime. Finally, the current capability of the Extreme Conditions Science Infrastructure to support high-pressure research at the Extreme Conditions Beamline and other PETRA III beamlines is described.","DOI":"10.1107/S1600577515005937","ISSN":"1600-5775","journalAbbreviation":"J. Synchrotron Rad.","language":"en","author":[{"family":"Liermann","given":"H.-P."},{"family":"Konôpková","given":"Z."},{"family":"Morgenroth","given":"W."},{"family":"Glazyrin","given":"K."},{"family":"Bednarčik","given":"J."},{"family":"McBride","given":"E. E."},{"family":"Petitgirard","given":"S."},{"family":"Delitz","given":"J. T."},{"family":"Wendt","given":"M."},{"family":"Bican","given":"Y."},{"family":"Ehnes","given":"A."},{"family":"Schwark","given":"I."},{"family":"Rothkirch","given":"A."},{"family":"Tischer","given":"M."},{"family":"Heuer","given":"J."},{"family":"Schulte-Schrepping","given":"H."},{"family":"Kracht","given":"T."},{"family":"Franz","given":"H."}],"issued":{"date-parts":[["2015",7,1]]}}}],"schema":"https://github.com/citation-style-language/schema/raw/master/csl-citation.json"} </w:instrText>
      </w:r>
      <w:r w:rsidRPr="001A2EC5">
        <w:rPr>
          <w:rFonts w:eastAsia="Arial"/>
          <w:color w:val="000000" w:themeColor="text1"/>
        </w:rPr>
        <w:fldChar w:fldCharType="separate"/>
      </w:r>
      <w:r w:rsidRPr="001A2EC5">
        <w:rPr>
          <w:color w:val="000000" w:themeColor="text1"/>
        </w:rPr>
        <w:t xml:space="preserve">(Liermann </w:t>
      </w:r>
      <w:r w:rsidRPr="001A2EC5">
        <w:rPr>
          <w:i/>
          <w:iCs/>
          <w:color w:val="000000" w:themeColor="text1"/>
        </w:rPr>
        <w:t>et al.</w:t>
      </w:r>
      <w:r w:rsidRPr="001A2EC5">
        <w:rPr>
          <w:color w:val="000000" w:themeColor="text1"/>
        </w:rPr>
        <w:t>, 2015)</w:t>
      </w:r>
      <w:r w:rsidRPr="001A2EC5">
        <w:rPr>
          <w:rFonts w:eastAsia="Arial"/>
          <w:color w:val="000000" w:themeColor="text1"/>
        </w:rPr>
        <w:fldChar w:fldCharType="end"/>
      </w:r>
      <w:r w:rsidRPr="001A2EC5">
        <w:rPr>
          <w:rFonts w:eastAsia="Arial"/>
          <w:color w:val="000000" w:themeColor="text1"/>
        </w:rPr>
        <w:t xml:space="preserve"> at the PETRA III synchrotron radiation source prior to the XFEL experiment to check the quality of the sample loading.</w:t>
      </w:r>
      <w:r w:rsidR="00A559EC" w:rsidRPr="001A2EC5">
        <w:rPr>
          <w:rFonts w:eastAsia="Arial"/>
          <w:color w:val="000000" w:themeColor="text1"/>
        </w:rPr>
        <w:t xml:space="preserve"> </w:t>
      </w:r>
      <w:bookmarkStart w:id="13" w:name="_Hlk132116478"/>
      <w:r w:rsidR="00137C5E" w:rsidRPr="001A2EC5">
        <w:rPr>
          <w:rFonts w:eastAsia="Arial"/>
          <w:color w:val="000000" w:themeColor="text1"/>
        </w:rPr>
        <w:t>S</w:t>
      </w:r>
      <w:r w:rsidR="008126D6" w:rsidRPr="001A2EC5">
        <w:rPr>
          <w:rFonts w:eastAsia="Arial"/>
          <w:color w:val="000000" w:themeColor="text1"/>
        </w:rPr>
        <w:t xml:space="preserve">ample screening was performed before the DACs </w:t>
      </w:r>
      <w:r w:rsidR="00A559EC" w:rsidRPr="001A2EC5">
        <w:rPr>
          <w:rFonts w:eastAsia="Arial"/>
          <w:color w:val="000000" w:themeColor="text1"/>
        </w:rPr>
        <w:t xml:space="preserve">were loaded </w:t>
      </w:r>
      <w:r w:rsidR="008126D6" w:rsidRPr="001A2EC5">
        <w:rPr>
          <w:rFonts w:eastAsia="Arial"/>
          <w:color w:val="000000" w:themeColor="text1"/>
        </w:rPr>
        <w:t xml:space="preserve">into the </w:t>
      </w:r>
      <w:proofErr w:type="spellStart"/>
      <w:r w:rsidR="008126D6" w:rsidRPr="001A2EC5">
        <w:rPr>
          <w:rFonts w:eastAsia="Arial"/>
          <w:color w:val="000000" w:themeColor="text1"/>
        </w:rPr>
        <w:t>dDAC</w:t>
      </w:r>
      <w:proofErr w:type="spellEnd"/>
      <w:r w:rsidR="008126D6" w:rsidRPr="001A2EC5">
        <w:rPr>
          <w:rFonts w:eastAsia="Arial"/>
          <w:color w:val="000000" w:themeColor="text1"/>
        </w:rPr>
        <w:t xml:space="preserve"> housing</w:t>
      </w:r>
      <w:r w:rsidR="00A559EC" w:rsidRPr="001A2EC5">
        <w:rPr>
          <w:rFonts w:eastAsia="Arial"/>
          <w:color w:val="000000" w:themeColor="text1"/>
        </w:rPr>
        <w:t xml:space="preserve"> and</w:t>
      </w:r>
      <w:r w:rsidR="008126D6" w:rsidRPr="001A2EC5">
        <w:rPr>
          <w:rFonts w:eastAsia="Arial"/>
          <w:color w:val="000000" w:themeColor="text1"/>
        </w:rPr>
        <w:t xml:space="preserve"> a pre-torque</w:t>
      </w:r>
      <w:r w:rsidR="00A559EC" w:rsidRPr="001A2EC5">
        <w:rPr>
          <w:rFonts w:eastAsia="Arial"/>
          <w:color w:val="000000" w:themeColor="text1"/>
        </w:rPr>
        <w:t xml:space="preserve"> was applied</w:t>
      </w:r>
      <w:r w:rsidR="008126D6" w:rsidRPr="001A2EC5">
        <w:rPr>
          <w:rFonts w:eastAsia="Arial"/>
          <w:color w:val="000000" w:themeColor="text1"/>
        </w:rPr>
        <w:t xml:space="preserve">; consequently, the pressure determined during screening does not necessarily correspond to the starting pressure during the XFEL experiment.  </w:t>
      </w:r>
      <w:bookmarkEnd w:id="13"/>
    </w:p>
    <w:bookmarkEnd w:id="12"/>
    <w:p w14:paraId="1054BB0E" w14:textId="77777777" w:rsidR="00A20AFF" w:rsidRPr="004742BD" w:rsidRDefault="00A20AFF" w:rsidP="00A20AFF">
      <w:pPr>
        <w:pStyle w:val="IUCrbodytext"/>
        <w:rPr>
          <w:rFonts w:eastAsia="Arial"/>
        </w:rPr>
      </w:pPr>
    </w:p>
    <w:p w14:paraId="1D98B592" w14:textId="75BBD4A1" w:rsidR="00A20AFF" w:rsidRDefault="009F2828" w:rsidP="00A20AFF">
      <w:pPr>
        <w:pStyle w:val="IUCrbodytext"/>
        <w:jc w:val="center"/>
      </w:pPr>
      <w:r>
        <w:rPr>
          <w:noProof/>
        </w:rPr>
        <w:lastRenderedPageBreak/>
        <w:drawing>
          <wp:inline distT="0" distB="0" distL="0" distR="0" wp14:anchorId="41D908E4" wp14:editId="4260DC73">
            <wp:extent cx="4940052" cy="44978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48975" cy="4505947"/>
                    </a:xfrm>
                    <a:prstGeom prst="rect">
                      <a:avLst/>
                    </a:prstGeom>
                  </pic:spPr>
                </pic:pic>
              </a:graphicData>
            </a:graphic>
          </wp:inline>
        </w:drawing>
      </w:r>
    </w:p>
    <w:p w14:paraId="1FA809B0" w14:textId="316BAD78" w:rsidR="00A20AFF" w:rsidRPr="0015079F" w:rsidRDefault="00A20AFF" w:rsidP="00A20AFF">
      <w:pPr>
        <w:pStyle w:val="IUCrfigurecaption"/>
        <w:rPr>
          <w:rFonts w:eastAsia="Arial"/>
          <w:bCs/>
          <w:szCs w:val="22"/>
          <w:shd w:val="clear" w:color="FDFDFD" w:fill="FDFDFD"/>
        </w:rPr>
      </w:pPr>
      <w:r>
        <w:rPr>
          <w:rFonts w:eastAsia="Arial"/>
          <w:bCs/>
          <w:shd w:val="clear" w:color="FDFDFD" w:fill="FDFDFD"/>
        </w:rPr>
        <w:t xml:space="preserve">Phase diagrams of (a) Bi, (b) </w:t>
      </w:r>
      <w:proofErr w:type="spellStart"/>
      <w:r>
        <w:rPr>
          <w:rFonts w:eastAsia="Arial"/>
          <w:bCs/>
          <w:shd w:val="clear" w:color="FDFDFD" w:fill="FDFDFD"/>
        </w:rPr>
        <w:t>Ti</w:t>
      </w:r>
      <w:proofErr w:type="spellEnd"/>
      <w:r>
        <w:rPr>
          <w:rFonts w:eastAsia="Arial"/>
          <w:bCs/>
          <w:shd w:val="clear" w:color="FDFDFD" w:fill="FDFDFD"/>
        </w:rPr>
        <w:t>, (c) N</w:t>
      </w:r>
      <w:r w:rsidRPr="009B176E">
        <w:rPr>
          <w:rFonts w:eastAsia="Arial"/>
          <w:bCs/>
          <w:shd w:val="clear" w:color="FDFDFD" w:fill="FDFDFD"/>
          <w:vertAlign w:val="subscript"/>
        </w:rPr>
        <w:t>2</w:t>
      </w:r>
      <w:r>
        <w:rPr>
          <w:rFonts w:eastAsia="Arial"/>
          <w:bCs/>
          <w:shd w:val="clear" w:color="FDFDFD" w:fill="FDFDFD"/>
        </w:rPr>
        <w:t>, and (d) H</w:t>
      </w:r>
      <w:r w:rsidRPr="009B176E">
        <w:rPr>
          <w:rFonts w:eastAsia="Arial"/>
          <w:bCs/>
          <w:shd w:val="clear" w:color="FDFDFD" w:fill="FDFDFD"/>
          <w:vertAlign w:val="subscript"/>
        </w:rPr>
        <w:t>2</w:t>
      </w:r>
      <w:r>
        <w:rPr>
          <w:rFonts w:eastAsia="Arial"/>
          <w:bCs/>
          <w:shd w:val="clear" w:color="FDFDFD" w:fill="FDFDFD"/>
        </w:rPr>
        <w:t xml:space="preserve">O, which are the phase transforming materials studied in this work. The red arrows show the ideal path taken during </w:t>
      </w:r>
      <w:proofErr w:type="spellStart"/>
      <w:r>
        <w:rPr>
          <w:rFonts w:eastAsia="Arial"/>
          <w:bCs/>
          <w:shd w:val="clear" w:color="FDFDFD" w:fill="FDFDFD"/>
        </w:rPr>
        <w:t>dDAC</w:t>
      </w:r>
      <w:proofErr w:type="spellEnd"/>
      <w:r>
        <w:rPr>
          <w:rFonts w:eastAsia="Arial"/>
          <w:bCs/>
          <w:shd w:val="clear" w:color="FDFDFD" w:fill="FDFDFD"/>
        </w:rPr>
        <w:t xml:space="preserve"> compression, </w:t>
      </w:r>
      <w:r w:rsidRPr="00513B56">
        <w:rPr>
          <w:rFonts w:eastAsia="Arial"/>
          <w:bCs/>
          <w:szCs w:val="22"/>
          <w:shd w:val="clear" w:color="FDFDFD" w:fill="FDFDFD"/>
        </w:rPr>
        <w:t>highlighting the phase transitions targeted in these experiments. Phase diagrams are modified from</w:t>
      </w:r>
      <w:r>
        <w:rPr>
          <w:rFonts w:eastAsia="Arial"/>
          <w:bCs/>
          <w:szCs w:val="22"/>
          <w:shd w:val="clear" w:color="FDFDFD" w:fill="FDFDFD"/>
        </w:rPr>
        <w:t xml:space="preserve"> references</w:t>
      </w:r>
      <w:r w:rsidRPr="00513B56">
        <w:rPr>
          <w:rFonts w:eastAsia="Arial"/>
          <w:bCs/>
          <w:szCs w:val="22"/>
          <w:shd w:val="clear" w:color="FDFDFD" w:fill="FDFDFD"/>
        </w:rPr>
        <w:t xml:space="preserve"> </w:t>
      </w:r>
      <w:r w:rsidRPr="00513B56">
        <w:rPr>
          <w:rFonts w:eastAsia="Arial"/>
          <w:bCs/>
          <w:szCs w:val="22"/>
          <w:shd w:val="clear" w:color="FDFDFD" w:fill="FDFDFD"/>
        </w:rPr>
        <w:fldChar w:fldCharType="begin"/>
      </w:r>
      <w:r w:rsidR="00491DFC">
        <w:rPr>
          <w:rFonts w:eastAsia="Arial"/>
          <w:bCs/>
          <w:szCs w:val="22"/>
          <w:shd w:val="clear" w:color="FDFDFD" w:fill="FDFDFD"/>
        </w:rPr>
        <w:instrText xml:space="preserve"> ADDIN ZOTERO_ITEM CSL_CITATION {"citationID":"T1RAWFPR","properties":{"formattedCitation":"(Klement {\\i{}et al.}, 1963; Zhang {\\i{}et al.}, 2008{\\i{}a}; Bini {\\i{}et al.}, 2000; Pistorius {\\i{}et al.}, 1968)","plainCitation":"(Klement et al., 1963; Zhang et al., 2008a; Bini et al., 2000; Pistorius et al., 1968)","noteIndex":0},"citationItems":[{"id":"GMxW0Csb/mjTo3QMf","uris":["http://zotero.org/users/local/uJBp8IoE/items/5KIH839K"],"uri":["http://zotero.org/users/local/uJBp8IoE/items/5KIH839K"],"itemData":{"id":"pCur8H7f/gkPxqfj0","type":"article-journal","abstract":"The meltings under pressure of arsenic, antimony, and bismuth have been determined up to nearly 70 kbar by means of differential thermal analysis (DTA). Arsenic initially melts with a positive dTdP, the fusion curve flattening out near 940°C at the highest pressures attained. The fusion curve of antimony exhibits practically no change with pressure initially, but takes on a slightly negative slope at higher pressures until a triple point is encountered near 57 kbar and 567°C; the high-pressure polymorph melts with a positive slope of 4.3°C/kbar. For bismuth, a triple point between the liquid and polymorphs IV and V occurs near 38.0 kbar and 296°C, in addition to the well-studied liquid-I-II and liquid-II-IV triple points at lower pressures. DTA was also used to determine the solid-solid phase boundaries in bismuth, triple points occurring between II, III, and IV near 24.0 kbar and 180°C and between III, IV, and V near 53 kbar and 174°C. The III-IV transition occurs at different temperatures upon heating and cooling and this hysteresis interval increases with pressure. No hystereses were observed for the IV-V and III-V transitions. At room temperature and at pressures beyond the well-known I-II and II-III transitions, the III-V transition is next encountered near </w:instrText>
      </w:r>
      <w:r w:rsidR="00491DFC">
        <w:rPr>
          <w:rFonts w:ascii="Cambria Math" w:eastAsia="Arial" w:hAnsi="Cambria Math" w:cs="Cambria Math"/>
          <w:bCs/>
          <w:szCs w:val="22"/>
          <w:shd w:val="clear" w:color="FDFDFD" w:fill="FDFDFD"/>
        </w:rPr>
        <w:instrText>∼</w:instrText>
      </w:r>
      <w:r w:rsidR="00491DFC">
        <w:rPr>
          <w:rFonts w:eastAsia="Arial"/>
          <w:bCs/>
          <w:szCs w:val="22"/>
          <w:shd w:val="clear" w:color="FDFDFD" w:fill="FDFDFD"/>
        </w:rPr>
        <w:instrText xml:space="preserve">78-82 kbar (as estimated by extrapolation). Suggestions are made for the structures of the high-pressure Bi polymorphs and analogies are drawn between Bi, Sb, and As for the melting and distortion under pressure of the normal rhombohedral structure.","container-title":"Physical Review","DOI":"10.1103/PhysRev.131.632","issue":"2","journalAbbreviation":"Phys. Rev.","note":"publisher: American Physical Society","page":"632-637","source":"APS","title":"Phase Diagrams of Arsenic, Antimony, and Bismuth at Pressures up to 70 kbars","volume":"131","author":[{"family":"Klement","given":"W."},{"family":"Jayaraman","given":"A."},{"family":"Kennedy","given":"G. C."}],"issued":{"date-parts":[["1963",7,15]]}}},{"id":128,"uris":["http://zotero.org/users/local/dwaXvkNj/items/ESASZ5A4"],"uri":["http://zotero.org/users/local/dwaXvkNj/items/ESASZ5A4"],"itemData":{"id":128,"type":"article-journal","title":"Experimental constraints on the phase diagram of titanium metal","container-title":"Journal of Physics and Chemistry of Solids","page":"2559-2563","volume":"69","issue":"10","source":"ScienceDirect","abstract":"The phase transformations of titanium metal have been studied at temperatures and pressures up to 973K and 8.7GPa using synchrotron X-ray diffraction. The equilibrium phase boundary of the α–ω transition has a dT/dP slope of 345K/GPa, and the transition pressure at room temperature is located at 5.7GPa. The volume change across the α–ω transition is ΔV=0.197cm3/mol, and the associated entropy change is ΔS=0.57J/molK. Except for ΔV, our results differ substantially from those of previous studies based on an equilibrium transition pressure of 2.0GPa at room temperature. The α–ω–β triple point is estimated to be at 7.5GPa and 913K, which is comparable with previous results obtained from differential thermal analysis and resistometric measurements. An update, more accurate phase diagram is established for Ti metal based on the present observations and previous constraints on the α–β and ω–β phase boundaries.","DOI":"10.1016/j.jpcs.2008.05.016","ISSN":"0022-3697","journalAbbreviation":"J. Phys. Chem. Solids","language":"en","author":[{"family":"Zhang","given":"Jianzhong"},{"family":"Zhao","given":"Yusheng"},{"family":"Hixson","given":"Robert S."},{"family":"Gray","given":"George T."},{"family":"Wang","given":"Liping"},{"family":"Utsumi","given":"Wataru"},{"family":"Hiroyuki","given":"Saito"},{"family":"Takanori","given":"Hattori"}],"issued":{"date-parts":[["2008",10,1]]}}},{"id":108,"uris":["http://zotero.org/users/local/dwaXvkNj/items/HJ768YTK"],"uri":["http://zotero.org/users/local/dwaXvkNj/items/HJ768YTK"],"itemData":{"id":108,"type":"article-journal","title":"High-pressure phases of solid nitrogen by Raman and infrared spectroscopy","container-title":"The Journal of Chemical Physics","page":"8522-8529","volume":"112","issue":"19","source":"aip.scitation.org (Atypon)","DOI":"10.1063/1.481455","ISSN":"0021-9606","journalAbbreviation":"J. Chem. Phys.","author":[{"family":"Bini","given":"Roberto"},{"family":"Ulivi","given":"Lorenzo"},{"family":"Kreutz","given":"Jörg"},{"family":"Jodl","given":"Hans J."}],"issued":{"date-parts":[["2000",5,15]]}}},{"id":"GMxW0Csb/acl97QlM","uris":["http://zotero.org/users/local/uJBp8IoE/items/X2SACD33"],"uri":["http://zotero.org/users/local/uJBp8IoE/items/X2SACD33"],"itemData":{"id":"pCur8H7f/cMm33qb0","type":"article-journal","container-title":"The Journal of Chemical Physics","DOI":"10.1063/1.1668248","ISSN":"0021-9606","issue":"12","journalAbbreviation":"J. Chem. Phys.","note":"publisher: American Institute of Physics","page":"5509-5514","source":"aip.scitation.org (Atypon)","title":"Phase Diagrams of H2O and D2O at High Pressures","volume":"48","author":[{"family":"Pistorius","given":"Carl W. F. T."},{"family":"Rapoport","given":"Eliezer"},{"family":"Clark","given":"J. B."}],"issued":{"date-parts":[["1968",6,15]]}}}],"schema":"https://github.com/citation-style-language/schema/raw/master/csl-citation.json"} </w:instrText>
      </w:r>
      <w:r w:rsidRPr="00513B56">
        <w:rPr>
          <w:rFonts w:eastAsia="Arial"/>
          <w:bCs/>
          <w:szCs w:val="22"/>
          <w:shd w:val="clear" w:color="FDFDFD" w:fill="FDFDFD"/>
        </w:rPr>
        <w:fldChar w:fldCharType="separate"/>
      </w:r>
      <w:r w:rsidRPr="00382466">
        <w:rPr>
          <w:szCs w:val="24"/>
        </w:rPr>
        <w:t xml:space="preserve">(Klement </w:t>
      </w:r>
      <w:r w:rsidRPr="00382466">
        <w:rPr>
          <w:i/>
          <w:iCs/>
          <w:szCs w:val="24"/>
        </w:rPr>
        <w:t>et al.</w:t>
      </w:r>
      <w:r w:rsidRPr="00382466">
        <w:rPr>
          <w:szCs w:val="24"/>
        </w:rPr>
        <w:t xml:space="preserve">, 1963; Zhang </w:t>
      </w:r>
      <w:r w:rsidRPr="00382466">
        <w:rPr>
          <w:i/>
          <w:iCs/>
          <w:szCs w:val="24"/>
        </w:rPr>
        <w:t>et al.</w:t>
      </w:r>
      <w:r w:rsidRPr="00382466">
        <w:rPr>
          <w:szCs w:val="24"/>
        </w:rPr>
        <w:t>, 2008</w:t>
      </w:r>
      <w:r w:rsidRPr="00382466">
        <w:rPr>
          <w:i/>
          <w:iCs/>
          <w:szCs w:val="24"/>
        </w:rPr>
        <w:t>a</w:t>
      </w:r>
      <w:r w:rsidRPr="00382466">
        <w:rPr>
          <w:szCs w:val="24"/>
        </w:rPr>
        <w:t xml:space="preserve">; Bini </w:t>
      </w:r>
      <w:r w:rsidRPr="00382466">
        <w:rPr>
          <w:i/>
          <w:iCs/>
          <w:szCs w:val="24"/>
        </w:rPr>
        <w:t>et al.</w:t>
      </w:r>
      <w:r w:rsidRPr="00382466">
        <w:rPr>
          <w:szCs w:val="24"/>
        </w:rPr>
        <w:t xml:space="preserve">, 2000; Pistorius </w:t>
      </w:r>
      <w:r w:rsidRPr="00382466">
        <w:rPr>
          <w:i/>
          <w:iCs/>
          <w:szCs w:val="24"/>
        </w:rPr>
        <w:t>et al.</w:t>
      </w:r>
      <w:r w:rsidRPr="00382466">
        <w:rPr>
          <w:szCs w:val="24"/>
        </w:rPr>
        <w:t>, 1968)</w:t>
      </w:r>
      <w:r w:rsidRPr="00513B56">
        <w:rPr>
          <w:rFonts w:eastAsia="Arial"/>
          <w:bCs/>
          <w:szCs w:val="22"/>
          <w:shd w:val="clear" w:color="FDFDFD" w:fill="FDFDFD"/>
        </w:rPr>
        <w:fldChar w:fldCharType="end"/>
      </w:r>
      <w:r w:rsidRPr="00513B56">
        <w:rPr>
          <w:rFonts w:eastAsia="Arial"/>
          <w:bCs/>
          <w:szCs w:val="22"/>
          <w:shd w:val="clear" w:color="FDFDFD" w:fill="FDFDFD"/>
        </w:rPr>
        <w:t>.</w:t>
      </w:r>
    </w:p>
    <w:p w14:paraId="0C885532" w14:textId="77777777" w:rsidR="00A20AFF" w:rsidRPr="00626126" w:rsidRDefault="00A20AFF" w:rsidP="00A20AFF">
      <w:pPr>
        <w:pStyle w:val="IUCrheading2"/>
        <w:numPr>
          <w:ilvl w:val="1"/>
          <w:numId w:val="34"/>
        </w:numPr>
        <w:textAlignment w:val="auto"/>
      </w:pPr>
      <w:r>
        <w:t>XFEL parameters</w:t>
      </w:r>
    </w:p>
    <w:p w14:paraId="653911BD" w14:textId="44D6301F" w:rsidR="00A20AFF" w:rsidRPr="004742BD" w:rsidRDefault="00A20AFF" w:rsidP="00A20AFF">
      <w:pPr>
        <w:pStyle w:val="IUCrbodytext"/>
      </w:pPr>
      <w:r w:rsidRPr="004742BD">
        <w:t>The experiment was performed using a photon energy of 18</w:t>
      </w:r>
      <w:r>
        <w:t>.105</w:t>
      </w:r>
      <w:r w:rsidRPr="004742BD">
        <w:t xml:space="preserve"> keV and an intra-train repetition rate of 1.1 MHz, which corresponds to an 88</w:t>
      </w:r>
      <w:r>
        <w:t>8</w:t>
      </w:r>
      <w:r w:rsidRPr="004742BD">
        <w:t> ns spacing between XFEL pulses. The X-ray beam was focused using a series of compound refractive lenses to a focal spot size of ~50 (h) x 50 (v) µm, which was determined from edge scans using a polished W rod.</w:t>
      </w:r>
      <w:r>
        <w:t xml:space="preserve"> </w:t>
      </w:r>
      <w:r w:rsidRPr="004742BD">
        <w:t>XRD data were collected using the AGIPD at the intra-train repetition rate</w:t>
      </w:r>
      <w:r>
        <w:t xml:space="preserve"> of 1.1 MHz, which was chosen to maximize the data collection window based on the 352-image limit of the AGIPD. T</w:t>
      </w:r>
      <w:r w:rsidRPr="004742BD">
        <w:t>he pulse train length was limited to 191 µs</w:t>
      </w:r>
      <w:r>
        <w:t xml:space="preserve"> in this experiment, which </w:t>
      </w:r>
      <w:r w:rsidRPr="004742BD">
        <w:t>provided a total of 216 pulses per train</w:t>
      </w:r>
      <w:r>
        <w:t>. The</w:t>
      </w:r>
      <w:r w:rsidRPr="004742BD">
        <w:t xml:space="preserve"> </w:t>
      </w:r>
      <w:r w:rsidRPr="004742BD">
        <w:rPr>
          <w:rFonts w:eastAsia="Arial"/>
        </w:rPr>
        <w:t>sample-to-detector</w:t>
      </w:r>
      <w:r>
        <w:rPr>
          <w:rFonts w:eastAsia="Arial"/>
        </w:rPr>
        <w:t xml:space="preserve"> </w:t>
      </w:r>
      <w:r w:rsidRPr="004742BD">
        <w:rPr>
          <w:rFonts w:eastAsia="Arial"/>
        </w:rPr>
        <w:t>distance</w:t>
      </w:r>
      <w:r>
        <w:rPr>
          <w:rFonts w:eastAsia="Arial"/>
        </w:rPr>
        <w:t xml:space="preserve"> </w:t>
      </w:r>
      <w:r w:rsidRPr="004742BD">
        <w:rPr>
          <w:rFonts w:eastAsia="Arial"/>
        </w:rPr>
        <w:t>(SDD) and orientation</w:t>
      </w:r>
      <w:r>
        <w:rPr>
          <w:rFonts w:eastAsia="Arial"/>
        </w:rPr>
        <w:t xml:space="preserve"> of the AGIPD</w:t>
      </w:r>
      <w:r w:rsidRPr="004742BD">
        <w:rPr>
          <w:rFonts w:eastAsia="Arial"/>
        </w:rPr>
        <w:t xml:space="preserve"> were </w:t>
      </w:r>
      <w:r w:rsidRPr="001A2EC5">
        <w:rPr>
          <w:rFonts w:eastAsia="Arial"/>
          <w:color w:val="000000" w:themeColor="text1"/>
        </w:rPr>
        <w:t>calibrated using a LaB</w:t>
      </w:r>
      <w:r w:rsidRPr="001A2EC5">
        <w:rPr>
          <w:rFonts w:eastAsia="Arial"/>
          <w:color w:val="000000" w:themeColor="text1"/>
          <w:vertAlign w:val="subscript"/>
        </w:rPr>
        <w:t>6</w:t>
      </w:r>
      <w:r w:rsidRPr="001A2EC5">
        <w:rPr>
          <w:rFonts w:eastAsia="Arial"/>
          <w:color w:val="000000" w:themeColor="text1"/>
        </w:rPr>
        <w:t xml:space="preserve"> NIST diffraction standard in conjunction with the DIOPTAS software</w:t>
      </w:r>
      <w:r w:rsidRPr="001A2EC5">
        <w:rPr>
          <w:rFonts w:eastAsia="Arial"/>
          <w:color w:val="000000" w:themeColor="text1"/>
        </w:rPr>
        <w:fldChar w:fldCharType="begin"/>
      </w:r>
      <w:r w:rsidRPr="001A2EC5">
        <w:rPr>
          <w:rFonts w:eastAsia="Arial"/>
          <w:color w:val="000000" w:themeColor="text1"/>
        </w:rPr>
        <w:instrText xml:space="preserve"> ADDIN ZOTERO_ITEM CSL_CITATION {"citationID":"Wo7heDWp","properties":{"formattedCitation":"(Prescher &amp; Prakapenka, 2015)","plainCitation":"(Prescher &amp; Prakapenka, 2015)","noteIndex":0},"citationItems":[{"id":132,"uris":["http://zotero.org/users/local/dwaXvkNj/items/K43ICBC9"],"uri":["http://zotero.org/users/local/dwaXvkNj/items/K43ICBC9"],"itemData":{"id":132,"type":"article-journal","title":"DIOPTAS: a program for reduction of two-dimensional X-ray diffraction data and data exploration","container-title":"High Pressure Research","page":"223-230","volume":"35","issue":"3","source":"Taylor and Francis+NEJM","abstract":"The amount of data collected during synchrotron X-ray diffraction (XRD) experiments is constantly increasing. Most of the time, the data are collected with image detectors, which necessitates the use of image reduction/integration routines to extract structural information from measured XRD patterns. This step turns out to be a bottleneck in the data processing procedure due to a lack of suitable software packages. In particular, fast-running synchrotron experiments require online data reduction and analysis in real time so that experimental parameters can be adjusted interactively. Dioptas is a Python-based program for on-the-fly data processing and exploration of two-dimensional X-ray diffraction area detector data, specifically designed for the large amount of data collected at XRD beamlines at synchrotrons. Its fast data reduction algorithm and graphical data exploration capabilities make it ideal for online data processing during XRD experiments and batch post-processing of large numbers of images.","DOI":"10.1080/08957959.2015.1059835","ISSN":"0895-7959","shortTitle":"DIOPTAS","journalAbbreviation":"High Press. Res.","author":[{"family":"Prescher","given":"Clemens"},{"family":"Prakapenka","given":"Vitali B."}],"issued":{"date-parts":[["2015",7,3]]}}}],"schema":"https://github.com/citation-style-language/schema/raw/master/csl-citation.json"} </w:instrText>
      </w:r>
      <w:r w:rsidRPr="001A2EC5">
        <w:rPr>
          <w:rFonts w:eastAsia="Arial"/>
          <w:color w:val="000000" w:themeColor="text1"/>
        </w:rPr>
        <w:fldChar w:fldCharType="separate"/>
      </w:r>
      <w:r w:rsidRPr="001A2EC5">
        <w:rPr>
          <w:color w:val="000000" w:themeColor="text1"/>
        </w:rPr>
        <w:t>(Prescher &amp; Prakapenka, 2015)</w:t>
      </w:r>
      <w:r w:rsidRPr="001A2EC5">
        <w:rPr>
          <w:rFonts w:eastAsia="Arial"/>
          <w:color w:val="000000" w:themeColor="text1"/>
        </w:rPr>
        <w:fldChar w:fldCharType="end"/>
      </w:r>
      <w:r w:rsidRPr="001A2EC5">
        <w:rPr>
          <w:rFonts w:eastAsia="Arial"/>
          <w:color w:val="000000" w:themeColor="text1"/>
        </w:rPr>
        <w:t xml:space="preserve">. </w:t>
      </w:r>
      <w:r w:rsidRPr="001A2EC5">
        <w:rPr>
          <w:color w:val="000000" w:themeColor="text1"/>
        </w:rPr>
        <w:t xml:space="preserve">The detector was positioned at </w:t>
      </w:r>
      <w:proofErr w:type="gramStart"/>
      <w:r w:rsidRPr="001A2EC5">
        <w:rPr>
          <w:color w:val="000000" w:themeColor="text1"/>
        </w:rPr>
        <w:t>a</w:t>
      </w:r>
      <w:proofErr w:type="gramEnd"/>
      <w:r w:rsidRPr="001A2EC5">
        <w:rPr>
          <w:color w:val="000000" w:themeColor="text1"/>
        </w:rPr>
        <w:t xml:space="preserve"> SDD of ~480 mm, which provided a Q-range coverage of 2.15 - 3.85 Å</w:t>
      </w:r>
      <w:r w:rsidRPr="001A2EC5">
        <w:rPr>
          <w:color w:val="000000" w:themeColor="text1"/>
          <w:vertAlign w:val="superscript"/>
        </w:rPr>
        <w:t>-1</w:t>
      </w:r>
      <w:r w:rsidR="00F01022" w:rsidRPr="001A2EC5">
        <w:rPr>
          <w:color w:val="000000" w:themeColor="text1"/>
        </w:rPr>
        <w:t>. In this configuration, the Q-range coverage was limited by the size of the AGIPD.</w:t>
      </w:r>
    </w:p>
    <w:p w14:paraId="596A70CD" w14:textId="54F9AD1A" w:rsidR="00A20AFF" w:rsidRDefault="00A20AFF" w:rsidP="00A20AFF">
      <w:pPr>
        <w:pStyle w:val="IUCrbodytext"/>
      </w:pPr>
      <w:r w:rsidRPr="004742BD">
        <w:lastRenderedPageBreak/>
        <w:t>The</w:t>
      </w:r>
      <w:r>
        <w:t xml:space="preserve"> X-ray </w:t>
      </w:r>
      <w:r w:rsidR="008D2B09">
        <w:t>fluence</w:t>
      </w:r>
      <w:r>
        <w:t xml:space="preserve"> </w:t>
      </w:r>
      <w:r w:rsidRPr="004742BD">
        <w:t>was adjusted using a series of Si and diamond solid attenuators</w:t>
      </w:r>
      <w:r>
        <w:t xml:space="preserve"> which determined the fraction of the XFEL beam which was transmitted to the sample (hereafter referred to as X-ray transmission and defined as a percentage of the unattenuated XFEL beam)</w:t>
      </w:r>
      <w:r w:rsidRPr="004742BD">
        <w:t xml:space="preserve">. The pulse energy was measured using a pulse-resolved </w:t>
      </w:r>
      <w:r>
        <w:t>intensity and position monitor (IPM)</w:t>
      </w:r>
      <w:r w:rsidRPr="004742BD">
        <w:t xml:space="preserve"> positioned upstream of the sample, which was cross-calibrated using an absolutely calibrated X-ray intensity gas monitor </w:t>
      </w:r>
      <w:r>
        <w:t xml:space="preserve">(XGM) </w:t>
      </w:r>
      <w:r w:rsidRPr="004742BD">
        <w:t xml:space="preserve">before the start of the experiment. The pulse energy typically decreased over the course of the train, and the average pulse energy of each run is given in </w:t>
      </w:r>
      <w:r>
        <w:t>T</w:t>
      </w:r>
      <w:r w:rsidRPr="004742BD">
        <w:t xml:space="preserve">able 1. </w:t>
      </w:r>
      <w:r>
        <w:t xml:space="preserve">All energies quoted in the remainder of the paper correspond to the energy at the sample position, corrected </w:t>
      </w:r>
      <w:r w:rsidRPr="00CC016F">
        <w:t xml:space="preserve">for absorption by the upstream diamond anvil using the </w:t>
      </w:r>
      <w:r>
        <w:t>attenuation</w:t>
      </w:r>
      <w:r w:rsidRPr="00CC016F">
        <w:t xml:space="preserve"> length of diamond at 18</w:t>
      </w:r>
      <w:r>
        <w:t>.105</w:t>
      </w:r>
      <w:r w:rsidRPr="00CC016F">
        <w:t xml:space="preserve"> keV assuming ambient pressure density of diamond</w:t>
      </w:r>
      <w:r>
        <w:t xml:space="preserve"> </w:t>
      </w:r>
      <w:r>
        <w:fldChar w:fldCharType="begin"/>
      </w:r>
      <w:r w:rsidR="006722F5">
        <w:instrText xml:space="preserve"> ADDIN ZOTERO_ITEM CSL_CITATION {"citationID":"ONVVk6OH","properties":{"formattedCitation":"(Henke {\\i{}et al.}, 1993)","plainCitation":"(Henke et al., 1993)","noteIndex":0},"citationItems":[{"id":42,"uris":["http://zotero.org/users/local/dwaXvkNj/items/SBSD5Y24"],"uri":["http://zotero.org/users/local/dwaXvkNj/items/SBSD5Y24"],"itemData":{"id":42,"type":"article-journal","title":"X-Ray Interactions: Photoabsorption, Scattering, Transmission, and Reflection at E = 50-30,000 eV, Z = 1-92","container-title":"Atomic Data and Nuclear Data Tables","page":"181-342","volume":"54","issue":"2","source":"ScienceDirect","abstract":"The primary interactions of low-energy x-rays within condensed matter, viz. photoabsorption and coherent scattering, have been described for photon energies outside the absorption threshold regions by using atomic scattering factors. The atomic scattering factors may be accurately determined from the atomic photoabsorption cross sections using modified Kramers-Kronig dispersion relations. From a synthesis of the currently available experimental data and recent theoretical calculations for photoabsorption, the angle-independent, forward-scattering components of the atomic scattering factors have been thus semiempirically determined and tabulated here for 92 elements and for the region 50-30,000 eV. Atomic scattering factors for all angles of coherent scattering and at the higher photon energies are obtained from these tabulated forward-scattering values by adding a simple angle-dependent form-factor correction. The incoherent scattering contributions that become significant for the light elements at the higher photon energies are similarly determined. The basic x-ray interaction relations that are used in applied x-ray physics are presented here in terms of the atomic scattering factors. The bulk optical constants are also related to the atomic scattering factors. These atomic and optical relations are applied to the detailed calculation of the reflectivity characteristics of a series of practical x-ray mirror, multilayer, and crystal monochromators. Comparisons of the results of this semiempirical, \"atomic-like\" description of x-ray interactions for the low-energy region with those of experiment and ab initio theory are presented.","DOI":"10.1006/adnd.1993.1013","ISSN":"0092-640X","shortTitle":"X-Ray Interactions","journalAbbreviation":"Atomic Data and Nuclear Data Tables","language":"en","author":[{"family":"Henke","given":"B. L."},{"family":"Gullikson","given":"E. M."},{"family":"Davis","given":"J. C."}],"issued":{"date-parts":[["1993",7,1]]}}}],"schema":"https://github.com/citation-style-language/schema/raw/master/csl-citation.json"} </w:instrText>
      </w:r>
      <w:r>
        <w:fldChar w:fldCharType="separate"/>
      </w:r>
      <w:r w:rsidRPr="00CC016F">
        <w:t xml:space="preserve">(Henke </w:t>
      </w:r>
      <w:r w:rsidRPr="00CC016F">
        <w:rPr>
          <w:i/>
          <w:iCs/>
        </w:rPr>
        <w:t>et al.</w:t>
      </w:r>
      <w:r w:rsidRPr="00CC016F">
        <w:t>, 1993)</w:t>
      </w:r>
      <w:r>
        <w:fldChar w:fldCharType="end"/>
      </w:r>
      <w:r w:rsidRPr="00CC016F">
        <w:t>.</w:t>
      </w:r>
      <w:r>
        <w:t xml:space="preserve"> </w:t>
      </w:r>
    </w:p>
    <w:p w14:paraId="63764CF3" w14:textId="77777777" w:rsidR="00A20AFF" w:rsidRDefault="00A20AFF" w:rsidP="00A20AFF">
      <w:pPr>
        <w:pStyle w:val="IUCrheading2"/>
        <w:numPr>
          <w:ilvl w:val="1"/>
          <w:numId w:val="34"/>
        </w:numPr>
        <w:textAlignment w:val="auto"/>
      </w:pPr>
      <w:r>
        <w:t>Sample alignment</w:t>
      </w:r>
    </w:p>
    <w:p w14:paraId="4C72F65F" w14:textId="77777777" w:rsidR="00A20AFF" w:rsidRPr="000F15CE" w:rsidRDefault="00A20AFF" w:rsidP="00A20AFF">
      <w:pPr>
        <w:pStyle w:val="IUCrbodytext"/>
        <w:rPr>
          <w:szCs w:val="22"/>
        </w:rPr>
      </w:pPr>
      <w:r w:rsidRPr="004742BD">
        <w:t xml:space="preserve">High-pressure beamlines at synchrotron light sources typically use absorption scans to align samples to the X-ray beam and position them at the centre of a rotation axis defining the SDD. Scanning procedures are more time consuming at XFEL sources for several reasons: long count times due to the pulsed </w:t>
      </w:r>
      <w:r w:rsidRPr="003B69CD">
        <w:rPr>
          <w:szCs w:val="22"/>
        </w:rPr>
        <w:t>nature of the source; the need for pulse-to-pulse normalization due to pulse energy variations between different trains</w:t>
      </w:r>
      <w:r w:rsidRPr="001B39F4">
        <w:rPr>
          <w:szCs w:val="22"/>
        </w:rPr>
        <w:t>; and the need to use a heavily att</w:t>
      </w:r>
      <w:r w:rsidRPr="0055608A">
        <w:rPr>
          <w:szCs w:val="22"/>
        </w:rPr>
        <w:t xml:space="preserve">enuated beam to avoid damage from repeated XFEL irradiation. </w:t>
      </w:r>
      <w:r w:rsidRPr="000F15CE">
        <w:rPr>
          <w:szCs w:val="22"/>
        </w:rPr>
        <w:t xml:space="preserve">Absorption scanning is therefore typically reserved for essential alignment procedures where no other method is available. </w:t>
      </w:r>
    </w:p>
    <w:p w14:paraId="71626A28" w14:textId="77777777" w:rsidR="00A20AFF" w:rsidRPr="00A6766C" w:rsidRDefault="00A20AFF" w:rsidP="00A20AFF">
      <w:pPr>
        <w:pStyle w:val="IUCrheading1"/>
        <w:numPr>
          <w:ilvl w:val="0"/>
          <w:numId w:val="0"/>
        </w:numPr>
        <w:rPr>
          <w:rFonts w:ascii="Times New Roman" w:hAnsi="Times New Roman"/>
          <w:b w:val="0"/>
          <w:sz w:val="22"/>
          <w:szCs w:val="22"/>
        </w:rPr>
      </w:pPr>
      <w:bookmarkStart w:id="14" w:name="_Hlk127447236"/>
      <w:r>
        <w:rPr>
          <w:rFonts w:ascii="Times New Roman" w:hAnsi="Times New Roman"/>
          <w:b w:val="0"/>
          <w:sz w:val="22"/>
          <w:szCs w:val="22"/>
        </w:rPr>
        <w:t>S</w:t>
      </w:r>
      <w:r w:rsidRPr="00BE653C">
        <w:rPr>
          <w:rFonts w:ascii="Times New Roman" w:hAnsi="Times New Roman"/>
          <w:b w:val="0"/>
          <w:sz w:val="22"/>
          <w:szCs w:val="22"/>
        </w:rPr>
        <w:t xml:space="preserve">ample alignment was </w:t>
      </w:r>
      <w:r>
        <w:rPr>
          <w:rFonts w:ascii="Times New Roman" w:hAnsi="Times New Roman"/>
          <w:b w:val="0"/>
          <w:sz w:val="22"/>
          <w:szCs w:val="22"/>
        </w:rPr>
        <w:t xml:space="preserve">therefore </w:t>
      </w:r>
      <w:r w:rsidRPr="00BE653C">
        <w:rPr>
          <w:rFonts w:ascii="Times New Roman" w:hAnsi="Times New Roman"/>
          <w:b w:val="0"/>
          <w:sz w:val="22"/>
          <w:szCs w:val="22"/>
        </w:rPr>
        <w:t>performed using the optical microscope</w:t>
      </w:r>
      <w:r>
        <w:rPr>
          <w:rFonts w:ascii="Times New Roman" w:hAnsi="Times New Roman"/>
          <w:b w:val="0"/>
          <w:sz w:val="22"/>
          <w:szCs w:val="22"/>
        </w:rPr>
        <w:t xml:space="preserve"> for the experiments described here.</w:t>
      </w:r>
      <w:r w:rsidRPr="009B176E">
        <w:rPr>
          <w:rFonts w:ascii="Times New Roman" w:hAnsi="Times New Roman"/>
          <w:b w:val="0"/>
          <w:sz w:val="22"/>
          <w:szCs w:val="22"/>
        </w:rPr>
        <w:t xml:space="preserve"> </w:t>
      </w:r>
      <w:r>
        <w:rPr>
          <w:rFonts w:ascii="Times New Roman" w:hAnsi="Times New Roman"/>
          <w:b w:val="0"/>
          <w:sz w:val="22"/>
          <w:szCs w:val="22"/>
        </w:rPr>
        <w:t>T</w:t>
      </w:r>
      <w:r w:rsidRPr="009B176E">
        <w:rPr>
          <w:rFonts w:ascii="Times New Roman" w:hAnsi="Times New Roman"/>
          <w:b w:val="0"/>
          <w:sz w:val="22"/>
          <w:szCs w:val="22"/>
        </w:rPr>
        <w:t xml:space="preserve">he microscope was aligned </w:t>
      </w:r>
      <w:r>
        <w:rPr>
          <w:rFonts w:ascii="Times New Roman" w:hAnsi="Times New Roman"/>
          <w:b w:val="0"/>
          <w:sz w:val="22"/>
          <w:szCs w:val="22"/>
        </w:rPr>
        <w:t xml:space="preserve">perpendicular </w:t>
      </w:r>
      <w:r w:rsidRPr="009B176E">
        <w:rPr>
          <w:rFonts w:ascii="Times New Roman" w:eastAsia="Arial" w:hAnsi="Times New Roman"/>
          <w:b w:val="0"/>
          <w:bCs/>
          <w:sz w:val="22"/>
          <w:szCs w:val="22"/>
          <w:shd w:val="clear" w:color="FDFDFD" w:fill="FDFDFD"/>
        </w:rPr>
        <w:t xml:space="preserve">to the X-ray beam based on the visual observation of X-ray induced fluorescence from a YAG screen at the sample position, after which the microscope was focused on the diffraction standard to define the sample plane (and SDD). </w:t>
      </w:r>
      <w:r w:rsidRPr="009B176E">
        <w:rPr>
          <w:rFonts w:ascii="Times New Roman" w:hAnsi="Times New Roman"/>
          <w:b w:val="0"/>
          <w:sz w:val="22"/>
          <w:szCs w:val="22"/>
        </w:rPr>
        <w:t xml:space="preserve">Samples were then aligned to the focus of the optical microscope, which resulted in a ~1 mm offset in the SDD due to the high refractive index of the diamond anvil which was accounted for in the detector calibration. </w:t>
      </w:r>
    </w:p>
    <w:bookmarkEnd w:id="14"/>
    <w:p w14:paraId="678F83F4" w14:textId="77777777" w:rsidR="00A20AFF" w:rsidRDefault="00A20AFF" w:rsidP="00A20AFF">
      <w:pPr>
        <w:pStyle w:val="IUCrheading2"/>
        <w:numPr>
          <w:ilvl w:val="1"/>
          <w:numId w:val="34"/>
        </w:numPr>
        <w:textAlignment w:val="auto"/>
      </w:pPr>
      <w:r>
        <w:t>Compression details</w:t>
      </w:r>
    </w:p>
    <w:p w14:paraId="07C61890" w14:textId="77777777" w:rsidR="00A20AFF" w:rsidRPr="004742BD" w:rsidRDefault="00A20AFF" w:rsidP="00A20AFF">
      <w:pPr>
        <w:pStyle w:val="IUCrbodytext"/>
      </w:pPr>
      <w:r>
        <w:t xml:space="preserve">The cells were pre-compressed in the </w:t>
      </w:r>
      <w:proofErr w:type="spellStart"/>
      <w:r>
        <w:t>dDAC</w:t>
      </w:r>
      <w:proofErr w:type="spellEnd"/>
      <w:r>
        <w:t xml:space="preserve"> housing by applying a </w:t>
      </w:r>
      <w:r w:rsidRPr="004742BD">
        <w:t>5</w:t>
      </w:r>
      <w:r>
        <w:t xml:space="preserve">.0 </w:t>
      </w:r>
      <w:r w:rsidRPr="004742BD">
        <w:t>(2.5) N</w:t>
      </w:r>
      <w:r>
        <w:t xml:space="preserve"> </w:t>
      </w:r>
      <w:r w:rsidRPr="004742BD">
        <w:t>m</w:t>
      </w:r>
      <w:r>
        <w:t xml:space="preserve"> torque</w:t>
      </w:r>
      <w:r w:rsidRPr="004742BD">
        <w:t xml:space="preserve"> to the</w:t>
      </w:r>
      <w:r>
        <w:t xml:space="preserve"> </w:t>
      </w:r>
      <w:r w:rsidRPr="004742BD">
        <w:t>DESY</w:t>
      </w:r>
      <w:r>
        <w:t xml:space="preserve"> </w:t>
      </w:r>
      <w:r w:rsidRPr="004742BD">
        <w:t xml:space="preserve">(LLNL) </w:t>
      </w:r>
      <w:proofErr w:type="spellStart"/>
      <w:r w:rsidRPr="004742BD">
        <w:t>dDAC</w:t>
      </w:r>
      <w:proofErr w:type="spellEnd"/>
      <w:r w:rsidRPr="004742BD">
        <w:t xml:space="preserve"> assemblies prior to compression. Samples were compressed/decompressed using a trapezoidal voltage waveform with the same rise, hold, and fall times </w:t>
      </w:r>
      <w:r w:rsidRPr="004742BD">
        <w:rPr>
          <w:color w:val="000000" w:themeColor="text1"/>
        </w:rPr>
        <w:t>(Table 1) which was controlled by a single trigger</w:t>
      </w:r>
      <w:r w:rsidRPr="004742BD">
        <w:t xml:space="preserve">, and data were collected during compression using a single ~191 µs pulse train. The waveform was triggered before the start of the X-ray pulse train, and the delay time was chosen to target the pressure range of interest. </w:t>
      </w:r>
    </w:p>
    <w:p w14:paraId="55A8F586" w14:textId="5C878128" w:rsidR="00A20AFF" w:rsidRDefault="00A20AFF" w:rsidP="00A20AFF">
      <w:pPr>
        <w:pStyle w:val="IUCrtablecaption"/>
        <w:numPr>
          <w:ilvl w:val="0"/>
          <w:numId w:val="35"/>
        </w:numPr>
        <w:jc w:val="both"/>
      </w:pPr>
      <w:r>
        <w:t xml:space="preserve">Details of the dynamic compression experiments described in this study. The average pulse energy is corrected to account for absorption by the upstream diamond anvil using the attenuation length </w:t>
      </w:r>
      <w:r>
        <w:lastRenderedPageBreak/>
        <w:t xml:space="preserve">of diamond at 18.105 keV assuming the ambient pressure density of diamond </w:t>
      </w:r>
      <w:r>
        <w:fldChar w:fldCharType="begin"/>
      </w:r>
      <w:r w:rsidR="006722F5">
        <w:instrText xml:space="preserve"> ADDIN ZOTERO_ITEM CSL_CITATION {"citationID":"MP5pxvgI","properties":{"formattedCitation":"(Henke {\\i{}et al.}, 1993)","plainCitation":"(Henke et al., 1993)","noteIndex":0},"citationItems":[{"id":42,"uris":["http://zotero.org/users/local/dwaXvkNj/items/SBSD5Y24"],"uri":["http://zotero.org/users/local/dwaXvkNj/items/SBSD5Y24"],"itemData":{"id":42,"type":"article-journal","title":"X-Ray Interactions: Photoabsorption, Scattering, Transmission, and Reflection at E = 50-30,000 eV, Z = 1-92","container-title":"Atomic Data and Nuclear Data Tables","page":"181-342","volume":"54","issue":"2","source":"ScienceDirect","abstract":"The primary interactions of low-energy x-rays within condensed matter, viz. photoabsorption and coherent scattering, have been described for photon energies outside the absorption threshold regions by using atomic scattering factors. The atomic scattering factors may be accurately determined from the atomic photoabsorption cross sections using modified Kramers-Kronig dispersion relations. From a synthesis of the currently available experimental data and recent theoretical calculations for photoabsorption, the angle-independent, forward-scattering components of the atomic scattering factors have been thus semiempirically determined and tabulated here for 92 elements and for the region 50-30,000 eV. Atomic scattering factors for all angles of coherent scattering and at the higher photon energies are obtained from these tabulated forward-scattering values by adding a simple angle-dependent form-factor correction. The incoherent scattering contributions that become significant for the light elements at the higher photon energies are similarly determined. The basic x-ray interaction relations that are used in applied x-ray physics are presented here in terms of the atomic scattering factors. The bulk optical constants are also related to the atomic scattering factors. These atomic and optical relations are applied to the detailed calculation of the reflectivity characteristics of a series of practical x-ray mirror, multilayer, and crystal monochromators. Comparisons of the results of this semiempirical, \"atomic-like\" description of x-ray interactions for the low-energy region with those of experiment and ab initio theory are presented.","DOI":"10.1006/adnd.1993.1013","ISSN":"0092-640X","shortTitle":"X-Ray Interactions","journalAbbreviation":"Atomic Data and Nuclear Data Tables","language":"en","author":[{"family":"Henke","given":"B. L."},{"family":"Gullikson","given":"E. M."},{"family":"Davis","given":"J. C."}],"issued":{"date-parts":[["1993",7,1]]}}}],"schema":"https://github.com/citation-style-language/schema/raw/master/csl-citation.json"} </w:instrText>
      </w:r>
      <w:r>
        <w:fldChar w:fldCharType="separate"/>
      </w:r>
      <w:r w:rsidRPr="00CC016F">
        <w:rPr>
          <w:szCs w:val="24"/>
        </w:rPr>
        <w:t xml:space="preserve">(Henke </w:t>
      </w:r>
      <w:r w:rsidRPr="00CC016F">
        <w:rPr>
          <w:i/>
          <w:iCs/>
          <w:szCs w:val="24"/>
        </w:rPr>
        <w:t>et al.</w:t>
      </w:r>
      <w:r w:rsidRPr="00CC016F">
        <w:rPr>
          <w:szCs w:val="24"/>
        </w:rPr>
        <w:t>, 1993)</w:t>
      </w:r>
      <w:r>
        <w:fldChar w:fldCharType="end"/>
      </w:r>
      <w:r>
        <w:t xml:space="preserve">. The uncertainty in the average pulse energy corresponds to the standard deviation across the entire train. </w:t>
      </w:r>
    </w:p>
    <w:tbl>
      <w:tblPr>
        <w:tblW w:w="5000" w:type="pct"/>
        <w:tblBorders>
          <w:top w:val="single" w:sz="4" w:space="0" w:color="auto"/>
          <w:bottom w:val="single" w:sz="4" w:space="0" w:color="auto"/>
        </w:tblBorders>
        <w:tblLook w:val="04A0" w:firstRow="1" w:lastRow="0" w:firstColumn="1" w:lastColumn="0" w:noHBand="0" w:noVBand="1"/>
      </w:tblPr>
      <w:tblGrid>
        <w:gridCol w:w="581"/>
        <w:gridCol w:w="855"/>
        <w:gridCol w:w="931"/>
        <w:gridCol w:w="650"/>
        <w:gridCol w:w="1358"/>
        <w:gridCol w:w="1272"/>
        <w:gridCol w:w="961"/>
        <w:gridCol w:w="591"/>
        <w:gridCol w:w="1103"/>
        <w:gridCol w:w="724"/>
      </w:tblGrid>
      <w:tr w:rsidR="00A20AFF" w14:paraId="2D3B4CD5" w14:textId="77777777" w:rsidTr="00D909DC">
        <w:trPr>
          <w:trHeight w:val="374"/>
        </w:trPr>
        <w:tc>
          <w:tcPr>
            <w:tcW w:w="351" w:type="pct"/>
            <w:tcBorders>
              <w:top w:val="single" w:sz="4" w:space="0" w:color="auto"/>
              <w:left w:val="nil"/>
              <w:bottom w:val="single" w:sz="4" w:space="0" w:color="auto"/>
              <w:right w:val="nil"/>
            </w:tcBorders>
            <w:hideMark/>
          </w:tcPr>
          <w:p w14:paraId="4DDFEBC6" w14:textId="77777777" w:rsidR="00A20AFF" w:rsidRPr="00E731A9" w:rsidRDefault="00A20AFF" w:rsidP="00D909DC">
            <w:pPr>
              <w:pStyle w:val="IUCrtabletext"/>
            </w:pPr>
          </w:p>
        </w:tc>
        <w:tc>
          <w:tcPr>
            <w:tcW w:w="1431" w:type="pct"/>
            <w:gridSpan w:val="3"/>
            <w:tcBorders>
              <w:top w:val="single" w:sz="4" w:space="0" w:color="auto"/>
              <w:left w:val="nil"/>
              <w:bottom w:val="single" w:sz="4" w:space="0" w:color="auto"/>
              <w:right w:val="single" w:sz="4" w:space="0" w:color="auto"/>
            </w:tcBorders>
            <w:hideMark/>
          </w:tcPr>
          <w:p w14:paraId="2264D975" w14:textId="77777777" w:rsidR="00A20AFF" w:rsidRDefault="00A20AFF" w:rsidP="00D909DC">
            <w:pPr>
              <w:pStyle w:val="IUCrtabletext"/>
            </w:pPr>
            <w:r>
              <w:t xml:space="preserve">Sample details </w:t>
            </w:r>
          </w:p>
        </w:tc>
        <w:tc>
          <w:tcPr>
            <w:tcW w:w="1333" w:type="pct"/>
            <w:gridSpan w:val="2"/>
            <w:tcBorders>
              <w:top w:val="single" w:sz="4" w:space="0" w:color="auto"/>
              <w:left w:val="single" w:sz="4" w:space="0" w:color="auto"/>
              <w:bottom w:val="single" w:sz="4" w:space="0" w:color="auto"/>
              <w:right w:val="single" w:sz="4" w:space="0" w:color="auto"/>
            </w:tcBorders>
          </w:tcPr>
          <w:p w14:paraId="11F71EC5" w14:textId="77777777" w:rsidR="00A20AFF" w:rsidRDefault="00A20AFF" w:rsidP="00D909DC">
            <w:pPr>
              <w:pStyle w:val="IUCrtabletext"/>
            </w:pPr>
            <w:r>
              <w:t>X-ray Parameters</w:t>
            </w:r>
          </w:p>
        </w:tc>
        <w:tc>
          <w:tcPr>
            <w:tcW w:w="1885" w:type="pct"/>
            <w:gridSpan w:val="4"/>
            <w:tcBorders>
              <w:top w:val="single" w:sz="4" w:space="0" w:color="auto"/>
              <w:left w:val="single" w:sz="4" w:space="0" w:color="auto"/>
              <w:bottom w:val="single" w:sz="4" w:space="0" w:color="auto"/>
              <w:right w:val="nil"/>
            </w:tcBorders>
            <w:hideMark/>
          </w:tcPr>
          <w:p w14:paraId="5064270F" w14:textId="77777777" w:rsidR="00A20AFF" w:rsidRDefault="00A20AFF" w:rsidP="00D909DC">
            <w:pPr>
              <w:pStyle w:val="IUCrtabletext"/>
            </w:pPr>
            <w:r>
              <w:t>Voltage waveform parameters</w:t>
            </w:r>
          </w:p>
        </w:tc>
      </w:tr>
      <w:tr w:rsidR="00A20AFF" w14:paraId="1395A65D" w14:textId="77777777" w:rsidTr="00D909DC">
        <w:trPr>
          <w:trHeight w:val="390"/>
        </w:trPr>
        <w:tc>
          <w:tcPr>
            <w:tcW w:w="351" w:type="pct"/>
            <w:tcBorders>
              <w:top w:val="single" w:sz="4" w:space="0" w:color="auto"/>
              <w:left w:val="nil"/>
              <w:bottom w:val="single" w:sz="4" w:space="0" w:color="auto"/>
              <w:right w:val="single" w:sz="4" w:space="0" w:color="auto"/>
            </w:tcBorders>
            <w:hideMark/>
          </w:tcPr>
          <w:p w14:paraId="56FF4DCF" w14:textId="77777777" w:rsidR="00A20AFF" w:rsidRDefault="00A20AFF" w:rsidP="00D909DC">
            <w:pPr>
              <w:pStyle w:val="IUCrtabletext"/>
            </w:pPr>
            <w:r>
              <w:t xml:space="preserve">Run no. </w:t>
            </w:r>
          </w:p>
        </w:tc>
        <w:tc>
          <w:tcPr>
            <w:tcW w:w="503" w:type="pct"/>
            <w:tcBorders>
              <w:top w:val="single" w:sz="4" w:space="0" w:color="auto"/>
              <w:left w:val="single" w:sz="4" w:space="0" w:color="auto"/>
              <w:bottom w:val="single" w:sz="4" w:space="0" w:color="auto"/>
              <w:right w:val="single" w:sz="4" w:space="0" w:color="auto"/>
            </w:tcBorders>
            <w:hideMark/>
          </w:tcPr>
          <w:p w14:paraId="1B58F483" w14:textId="77777777" w:rsidR="00A20AFF" w:rsidRDefault="00A20AFF" w:rsidP="00D909DC">
            <w:pPr>
              <w:pStyle w:val="IUCrtabletext"/>
            </w:pPr>
            <w:r>
              <w:t xml:space="preserve">Sample </w:t>
            </w:r>
          </w:p>
        </w:tc>
        <w:tc>
          <w:tcPr>
            <w:tcW w:w="545" w:type="pct"/>
            <w:tcBorders>
              <w:top w:val="single" w:sz="4" w:space="0" w:color="auto"/>
              <w:left w:val="single" w:sz="4" w:space="0" w:color="auto"/>
              <w:bottom w:val="single" w:sz="4" w:space="0" w:color="auto"/>
              <w:right w:val="single" w:sz="4" w:space="0" w:color="auto"/>
            </w:tcBorders>
          </w:tcPr>
          <w:p w14:paraId="3EA91829" w14:textId="77777777" w:rsidR="00A20AFF" w:rsidRDefault="00A20AFF" w:rsidP="00D909DC">
            <w:pPr>
              <w:pStyle w:val="IUCrtabletext"/>
            </w:pPr>
            <w:r>
              <w:t>Pressure marker</w:t>
            </w:r>
          </w:p>
        </w:tc>
        <w:tc>
          <w:tcPr>
            <w:tcW w:w="383" w:type="pct"/>
            <w:tcBorders>
              <w:top w:val="single" w:sz="4" w:space="0" w:color="auto"/>
              <w:left w:val="single" w:sz="4" w:space="0" w:color="auto"/>
              <w:bottom w:val="single" w:sz="4" w:space="0" w:color="auto"/>
              <w:right w:val="single" w:sz="4" w:space="0" w:color="auto"/>
            </w:tcBorders>
          </w:tcPr>
          <w:p w14:paraId="7810BD2D" w14:textId="77777777" w:rsidR="00A20AFF" w:rsidRDefault="00A20AFF" w:rsidP="00D909DC">
            <w:pPr>
              <w:pStyle w:val="IUCrtabletext"/>
            </w:pPr>
            <w:r>
              <w:t>PTM</w:t>
            </w:r>
          </w:p>
        </w:tc>
        <w:tc>
          <w:tcPr>
            <w:tcW w:w="788" w:type="pct"/>
            <w:tcBorders>
              <w:top w:val="single" w:sz="4" w:space="0" w:color="auto"/>
              <w:left w:val="single" w:sz="4" w:space="0" w:color="auto"/>
              <w:bottom w:val="single" w:sz="4" w:space="0" w:color="auto"/>
              <w:right w:val="single" w:sz="4" w:space="0" w:color="auto"/>
            </w:tcBorders>
          </w:tcPr>
          <w:p w14:paraId="353650D9" w14:textId="77777777" w:rsidR="00A20AFF" w:rsidRDefault="00A20AFF" w:rsidP="00D909DC">
            <w:pPr>
              <w:pStyle w:val="IUCrtabletext"/>
            </w:pPr>
            <w:r>
              <w:t>X-ray transmission (%)</w:t>
            </w:r>
          </w:p>
        </w:tc>
        <w:tc>
          <w:tcPr>
            <w:tcW w:w="545" w:type="pct"/>
            <w:tcBorders>
              <w:top w:val="single" w:sz="4" w:space="0" w:color="auto"/>
              <w:left w:val="single" w:sz="4" w:space="0" w:color="auto"/>
              <w:bottom w:val="single" w:sz="4" w:space="0" w:color="auto"/>
              <w:right w:val="single" w:sz="4" w:space="0" w:color="auto"/>
            </w:tcBorders>
          </w:tcPr>
          <w:p w14:paraId="7FC86514" w14:textId="1F6C33BE" w:rsidR="00A20AFF" w:rsidRPr="00CB0A8B" w:rsidRDefault="00E456A8" w:rsidP="00D909DC">
            <w:pPr>
              <w:pStyle w:val="IUCrtabletext"/>
            </w:pPr>
            <w:r>
              <w:t>Energy/pulse on target</w:t>
            </w:r>
            <w:r w:rsidR="00A20AFF" w:rsidRPr="00CB0A8B">
              <w:t xml:space="preserve"> (µJ)</w:t>
            </w:r>
          </w:p>
        </w:tc>
        <w:tc>
          <w:tcPr>
            <w:tcW w:w="459" w:type="pct"/>
            <w:tcBorders>
              <w:top w:val="single" w:sz="4" w:space="0" w:color="auto"/>
              <w:left w:val="single" w:sz="4" w:space="0" w:color="auto"/>
              <w:bottom w:val="single" w:sz="4" w:space="0" w:color="auto"/>
              <w:right w:val="single" w:sz="4" w:space="0" w:color="auto"/>
            </w:tcBorders>
            <w:hideMark/>
          </w:tcPr>
          <w:p w14:paraId="45DA9EB6" w14:textId="77777777" w:rsidR="00A20AFF" w:rsidRDefault="00A20AFF" w:rsidP="00D909DC">
            <w:pPr>
              <w:pStyle w:val="IUCrtabletext"/>
            </w:pPr>
            <w:proofErr w:type="spellStart"/>
            <w:r>
              <w:t>dDAC</w:t>
            </w:r>
            <w:proofErr w:type="spellEnd"/>
            <w:r>
              <w:t xml:space="preserve"> assembly  </w:t>
            </w:r>
          </w:p>
        </w:tc>
        <w:tc>
          <w:tcPr>
            <w:tcW w:w="356" w:type="pct"/>
            <w:tcBorders>
              <w:top w:val="single" w:sz="4" w:space="0" w:color="auto"/>
              <w:left w:val="single" w:sz="4" w:space="0" w:color="auto"/>
              <w:bottom w:val="single" w:sz="4" w:space="0" w:color="auto"/>
              <w:right w:val="single" w:sz="4" w:space="0" w:color="auto"/>
            </w:tcBorders>
          </w:tcPr>
          <w:p w14:paraId="6F077C10" w14:textId="77777777" w:rsidR="00A20AFF" w:rsidRDefault="00A20AFF" w:rsidP="00D909DC">
            <w:pPr>
              <w:pStyle w:val="IUCrtabletext"/>
            </w:pPr>
            <w:r>
              <w:t>Rise time (µs)</w:t>
            </w:r>
          </w:p>
        </w:tc>
        <w:tc>
          <w:tcPr>
            <w:tcW w:w="640" w:type="pct"/>
            <w:tcBorders>
              <w:top w:val="single" w:sz="4" w:space="0" w:color="auto"/>
              <w:left w:val="single" w:sz="4" w:space="0" w:color="auto"/>
              <w:bottom w:val="single" w:sz="4" w:space="0" w:color="auto"/>
              <w:right w:val="single" w:sz="4" w:space="0" w:color="auto"/>
            </w:tcBorders>
          </w:tcPr>
          <w:p w14:paraId="0D2F6AC0" w14:textId="77777777" w:rsidR="00A20AFF" w:rsidRDefault="00A20AFF" w:rsidP="00D909DC">
            <w:pPr>
              <w:pStyle w:val="IUCrtabletext"/>
            </w:pPr>
            <w:r>
              <w:t>Maximum voltage (V)</w:t>
            </w:r>
          </w:p>
        </w:tc>
        <w:tc>
          <w:tcPr>
            <w:tcW w:w="430" w:type="pct"/>
            <w:tcBorders>
              <w:top w:val="single" w:sz="4" w:space="0" w:color="auto"/>
              <w:left w:val="single" w:sz="4" w:space="0" w:color="auto"/>
              <w:bottom w:val="single" w:sz="4" w:space="0" w:color="auto"/>
              <w:right w:val="nil"/>
            </w:tcBorders>
          </w:tcPr>
          <w:p w14:paraId="6F1F01D1" w14:textId="77777777" w:rsidR="00A20AFF" w:rsidRDefault="00A20AFF" w:rsidP="00D909DC">
            <w:pPr>
              <w:pStyle w:val="IUCrtabletext"/>
            </w:pPr>
            <w:r>
              <w:t>Delay time (µs)</w:t>
            </w:r>
          </w:p>
        </w:tc>
      </w:tr>
      <w:tr w:rsidR="00A20AFF" w14:paraId="0DFC797B" w14:textId="77777777" w:rsidTr="00D909DC">
        <w:trPr>
          <w:trHeight w:val="390"/>
        </w:trPr>
        <w:tc>
          <w:tcPr>
            <w:tcW w:w="351" w:type="pct"/>
            <w:tcBorders>
              <w:top w:val="single" w:sz="4" w:space="0" w:color="auto"/>
              <w:left w:val="nil"/>
              <w:bottom w:val="nil"/>
              <w:right w:val="single" w:sz="4" w:space="0" w:color="auto"/>
            </w:tcBorders>
          </w:tcPr>
          <w:p w14:paraId="6F1C05F0" w14:textId="77777777" w:rsidR="00A20AFF" w:rsidRDefault="00A20AFF" w:rsidP="00D909DC">
            <w:pPr>
              <w:pStyle w:val="IUCrtabletext"/>
            </w:pPr>
            <w:r>
              <w:rPr>
                <w:szCs w:val="20"/>
              </w:rPr>
              <w:t>44</w:t>
            </w:r>
          </w:p>
        </w:tc>
        <w:tc>
          <w:tcPr>
            <w:tcW w:w="503" w:type="pct"/>
            <w:tcBorders>
              <w:top w:val="single" w:sz="4" w:space="0" w:color="auto"/>
              <w:left w:val="single" w:sz="4" w:space="0" w:color="auto"/>
              <w:bottom w:val="nil"/>
              <w:right w:val="single" w:sz="4" w:space="0" w:color="auto"/>
            </w:tcBorders>
          </w:tcPr>
          <w:p w14:paraId="211CC552" w14:textId="77777777" w:rsidR="00A20AFF" w:rsidRDefault="00A20AFF" w:rsidP="00D909DC">
            <w:pPr>
              <w:pStyle w:val="IUCrtabletext"/>
            </w:pPr>
            <w:r>
              <w:rPr>
                <w:szCs w:val="20"/>
              </w:rPr>
              <w:t>Au</w:t>
            </w:r>
          </w:p>
        </w:tc>
        <w:tc>
          <w:tcPr>
            <w:tcW w:w="545" w:type="pct"/>
            <w:tcBorders>
              <w:top w:val="single" w:sz="4" w:space="0" w:color="auto"/>
              <w:left w:val="single" w:sz="4" w:space="0" w:color="auto"/>
              <w:bottom w:val="nil"/>
              <w:right w:val="single" w:sz="4" w:space="0" w:color="auto"/>
            </w:tcBorders>
          </w:tcPr>
          <w:p w14:paraId="67CA9B73" w14:textId="77777777" w:rsidR="00A20AFF" w:rsidRDefault="00A20AFF" w:rsidP="00D909DC">
            <w:pPr>
              <w:pStyle w:val="IUCrtabletext"/>
            </w:pPr>
            <w:r>
              <w:rPr>
                <w:szCs w:val="20"/>
              </w:rPr>
              <w:t>W</w:t>
            </w:r>
          </w:p>
        </w:tc>
        <w:tc>
          <w:tcPr>
            <w:tcW w:w="383" w:type="pct"/>
            <w:tcBorders>
              <w:top w:val="single" w:sz="4" w:space="0" w:color="auto"/>
              <w:left w:val="single" w:sz="4" w:space="0" w:color="auto"/>
              <w:bottom w:val="nil"/>
              <w:right w:val="single" w:sz="4" w:space="0" w:color="auto"/>
            </w:tcBorders>
          </w:tcPr>
          <w:p w14:paraId="62BA819D" w14:textId="77777777" w:rsidR="00A20AFF" w:rsidRDefault="00A20AFF" w:rsidP="00D909DC">
            <w:pPr>
              <w:pStyle w:val="IUCrtabletext"/>
            </w:pPr>
            <w:r>
              <w:rPr>
                <w:szCs w:val="20"/>
              </w:rPr>
              <w:t>Ne</w:t>
            </w:r>
          </w:p>
        </w:tc>
        <w:tc>
          <w:tcPr>
            <w:tcW w:w="788" w:type="pct"/>
            <w:tcBorders>
              <w:top w:val="single" w:sz="4" w:space="0" w:color="auto"/>
              <w:left w:val="single" w:sz="4" w:space="0" w:color="auto"/>
              <w:bottom w:val="nil"/>
              <w:right w:val="single" w:sz="4" w:space="0" w:color="auto"/>
            </w:tcBorders>
          </w:tcPr>
          <w:p w14:paraId="280B4106" w14:textId="77777777" w:rsidR="00A20AFF" w:rsidRDefault="00A20AFF" w:rsidP="00D909DC">
            <w:pPr>
              <w:pStyle w:val="IUCrtabletext"/>
            </w:pPr>
            <w:r>
              <w:rPr>
                <w:szCs w:val="20"/>
              </w:rPr>
              <w:t>0.3</w:t>
            </w:r>
          </w:p>
        </w:tc>
        <w:tc>
          <w:tcPr>
            <w:tcW w:w="545" w:type="pct"/>
            <w:tcBorders>
              <w:top w:val="single" w:sz="4" w:space="0" w:color="auto"/>
              <w:left w:val="single" w:sz="4" w:space="0" w:color="auto"/>
              <w:bottom w:val="nil"/>
              <w:right w:val="single" w:sz="4" w:space="0" w:color="auto"/>
            </w:tcBorders>
          </w:tcPr>
          <w:p w14:paraId="52CA469D" w14:textId="77777777" w:rsidR="00A20AFF" w:rsidRDefault="00A20AFF" w:rsidP="00D909DC">
            <w:pPr>
              <w:pStyle w:val="IUCrtabletext"/>
            </w:pPr>
            <w:r>
              <w:rPr>
                <w:szCs w:val="20"/>
              </w:rPr>
              <w:t>0.2 ± 0.5</w:t>
            </w:r>
          </w:p>
        </w:tc>
        <w:tc>
          <w:tcPr>
            <w:tcW w:w="459" w:type="pct"/>
            <w:tcBorders>
              <w:top w:val="single" w:sz="4" w:space="0" w:color="auto"/>
              <w:left w:val="single" w:sz="4" w:space="0" w:color="auto"/>
              <w:bottom w:val="nil"/>
              <w:right w:val="single" w:sz="4" w:space="0" w:color="auto"/>
            </w:tcBorders>
          </w:tcPr>
          <w:p w14:paraId="3503E128" w14:textId="77777777" w:rsidR="00A20AFF" w:rsidRDefault="00A20AFF" w:rsidP="00D909DC">
            <w:pPr>
              <w:pStyle w:val="IUCrtabletext"/>
            </w:pPr>
            <w:r>
              <w:rPr>
                <w:szCs w:val="20"/>
              </w:rPr>
              <w:t>LLNL</w:t>
            </w:r>
          </w:p>
        </w:tc>
        <w:tc>
          <w:tcPr>
            <w:tcW w:w="356" w:type="pct"/>
            <w:tcBorders>
              <w:top w:val="single" w:sz="4" w:space="0" w:color="auto"/>
              <w:left w:val="single" w:sz="4" w:space="0" w:color="auto"/>
              <w:bottom w:val="nil"/>
              <w:right w:val="single" w:sz="4" w:space="0" w:color="auto"/>
            </w:tcBorders>
          </w:tcPr>
          <w:p w14:paraId="70E1997D" w14:textId="77777777" w:rsidR="00A20AFF" w:rsidRDefault="00A20AFF" w:rsidP="00D909DC">
            <w:pPr>
              <w:pStyle w:val="IUCrtabletext"/>
            </w:pPr>
            <w:r>
              <w:rPr>
                <w:szCs w:val="20"/>
              </w:rPr>
              <w:t>340</w:t>
            </w:r>
          </w:p>
        </w:tc>
        <w:tc>
          <w:tcPr>
            <w:tcW w:w="640" w:type="pct"/>
            <w:tcBorders>
              <w:top w:val="single" w:sz="4" w:space="0" w:color="auto"/>
              <w:left w:val="single" w:sz="4" w:space="0" w:color="auto"/>
              <w:bottom w:val="nil"/>
              <w:right w:val="single" w:sz="4" w:space="0" w:color="auto"/>
            </w:tcBorders>
          </w:tcPr>
          <w:p w14:paraId="19CA4813" w14:textId="77777777" w:rsidR="00A20AFF" w:rsidRDefault="00A20AFF" w:rsidP="00D909DC">
            <w:pPr>
              <w:pStyle w:val="IUCrtabletext"/>
            </w:pPr>
            <w:r>
              <w:rPr>
                <w:szCs w:val="20"/>
              </w:rPr>
              <w:t>1000</w:t>
            </w:r>
          </w:p>
        </w:tc>
        <w:tc>
          <w:tcPr>
            <w:tcW w:w="430" w:type="pct"/>
            <w:tcBorders>
              <w:top w:val="single" w:sz="4" w:space="0" w:color="auto"/>
              <w:left w:val="single" w:sz="4" w:space="0" w:color="auto"/>
              <w:bottom w:val="nil"/>
              <w:right w:val="nil"/>
            </w:tcBorders>
          </w:tcPr>
          <w:p w14:paraId="003BB787" w14:textId="77777777" w:rsidR="00A20AFF" w:rsidRDefault="00A20AFF" w:rsidP="00D909DC">
            <w:pPr>
              <w:pStyle w:val="IUCrtabletext"/>
            </w:pPr>
            <w:r>
              <w:rPr>
                <w:szCs w:val="20"/>
              </w:rPr>
              <w:t>200</w:t>
            </w:r>
          </w:p>
        </w:tc>
      </w:tr>
      <w:tr w:rsidR="00A20AFF" w14:paraId="5D002CD6" w14:textId="77777777" w:rsidTr="00D909DC">
        <w:trPr>
          <w:trHeight w:val="390"/>
        </w:trPr>
        <w:tc>
          <w:tcPr>
            <w:tcW w:w="351" w:type="pct"/>
            <w:tcBorders>
              <w:top w:val="nil"/>
              <w:left w:val="nil"/>
              <w:bottom w:val="nil"/>
              <w:right w:val="single" w:sz="4" w:space="0" w:color="auto"/>
            </w:tcBorders>
          </w:tcPr>
          <w:p w14:paraId="29CD2972" w14:textId="77777777" w:rsidR="00A20AFF" w:rsidRDefault="00A20AFF" w:rsidP="00D909DC">
            <w:pPr>
              <w:pStyle w:val="IUCrtabletext"/>
            </w:pPr>
            <w:r>
              <w:rPr>
                <w:szCs w:val="20"/>
              </w:rPr>
              <w:t>103</w:t>
            </w:r>
          </w:p>
        </w:tc>
        <w:tc>
          <w:tcPr>
            <w:tcW w:w="503" w:type="pct"/>
            <w:tcBorders>
              <w:top w:val="nil"/>
              <w:left w:val="single" w:sz="4" w:space="0" w:color="auto"/>
              <w:bottom w:val="nil"/>
              <w:right w:val="single" w:sz="4" w:space="0" w:color="auto"/>
            </w:tcBorders>
          </w:tcPr>
          <w:p w14:paraId="3EBBC061" w14:textId="77777777" w:rsidR="00A20AFF" w:rsidRDefault="00A20AFF" w:rsidP="00D909DC">
            <w:pPr>
              <w:pStyle w:val="IUCrtabletext"/>
            </w:pPr>
            <w:r>
              <w:rPr>
                <w:szCs w:val="20"/>
              </w:rPr>
              <w:t>Bi</w:t>
            </w:r>
          </w:p>
        </w:tc>
        <w:tc>
          <w:tcPr>
            <w:tcW w:w="545" w:type="pct"/>
            <w:tcBorders>
              <w:top w:val="nil"/>
              <w:left w:val="single" w:sz="4" w:space="0" w:color="auto"/>
              <w:bottom w:val="nil"/>
              <w:right w:val="single" w:sz="4" w:space="0" w:color="auto"/>
            </w:tcBorders>
          </w:tcPr>
          <w:p w14:paraId="43D01D9C" w14:textId="77777777" w:rsidR="00A20AFF" w:rsidRDefault="00A20AFF" w:rsidP="00D909DC">
            <w:pPr>
              <w:pStyle w:val="IUCrtabletext"/>
            </w:pPr>
            <w:r>
              <w:rPr>
                <w:szCs w:val="20"/>
              </w:rPr>
              <w:t>Cu</w:t>
            </w:r>
          </w:p>
        </w:tc>
        <w:tc>
          <w:tcPr>
            <w:tcW w:w="383" w:type="pct"/>
            <w:tcBorders>
              <w:top w:val="nil"/>
              <w:left w:val="single" w:sz="4" w:space="0" w:color="auto"/>
              <w:bottom w:val="nil"/>
              <w:right w:val="single" w:sz="4" w:space="0" w:color="auto"/>
            </w:tcBorders>
          </w:tcPr>
          <w:p w14:paraId="220CB161" w14:textId="77777777" w:rsidR="00A20AFF" w:rsidRDefault="00A20AFF" w:rsidP="00D909DC">
            <w:pPr>
              <w:pStyle w:val="IUCrtabletext"/>
            </w:pPr>
            <w:r>
              <w:rPr>
                <w:szCs w:val="20"/>
              </w:rPr>
              <w:t>Ne</w:t>
            </w:r>
          </w:p>
        </w:tc>
        <w:tc>
          <w:tcPr>
            <w:tcW w:w="788" w:type="pct"/>
            <w:tcBorders>
              <w:top w:val="nil"/>
              <w:left w:val="single" w:sz="4" w:space="0" w:color="auto"/>
              <w:bottom w:val="nil"/>
              <w:right w:val="single" w:sz="4" w:space="0" w:color="auto"/>
            </w:tcBorders>
          </w:tcPr>
          <w:p w14:paraId="5BFDA98F" w14:textId="77777777" w:rsidR="00A20AFF" w:rsidRDefault="00A20AFF" w:rsidP="00D909DC">
            <w:pPr>
              <w:pStyle w:val="IUCrtabletext"/>
            </w:pPr>
            <w:r>
              <w:rPr>
                <w:szCs w:val="20"/>
              </w:rPr>
              <w:t>0.3</w:t>
            </w:r>
          </w:p>
        </w:tc>
        <w:tc>
          <w:tcPr>
            <w:tcW w:w="545" w:type="pct"/>
            <w:tcBorders>
              <w:top w:val="nil"/>
              <w:left w:val="single" w:sz="4" w:space="0" w:color="auto"/>
              <w:bottom w:val="nil"/>
              <w:right w:val="single" w:sz="4" w:space="0" w:color="auto"/>
            </w:tcBorders>
          </w:tcPr>
          <w:p w14:paraId="2D5EAC31" w14:textId="77777777" w:rsidR="00A20AFF" w:rsidRDefault="00A20AFF" w:rsidP="00D909DC">
            <w:pPr>
              <w:pStyle w:val="IUCrtabletext"/>
            </w:pPr>
            <w:r>
              <w:rPr>
                <w:szCs w:val="20"/>
              </w:rPr>
              <w:t>0.2 ± 0.4</w:t>
            </w:r>
          </w:p>
        </w:tc>
        <w:tc>
          <w:tcPr>
            <w:tcW w:w="459" w:type="pct"/>
            <w:tcBorders>
              <w:top w:val="nil"/>
              <w:left w:val="single" w:sz="4" w:space="0" w:color="auto"/>
              <w:bottom w:val="nil"/>
              <w:right w:val="single" w:sz="4" w:space="0" w:color="auto"/>
            </w:tcBorders>
          </w:tcPr>
          <w:p w14:paraId="24009417" w14:textId="77777777" w:rsidR="00A20AFF" w:rsidRDefault="00A20AFF" w:rsidP="00D909DC">
            <w:pPr>
              <w:pStyle w:val="IUCrtabletext"/>
            </w:pPr>
            <w:r>
              <w:rPr>
                <w:szCs w:val="20"/>
              </w:rPr>
              <w:t>LLNL</w:t>
            </w:r>
          </w:p>
        </w:tc>
        <w:tc>
          <w:tcPr>
            <w:tcW w:w="356" w:type="pct"/>
            <w:tcBorders>
              <w:top w:val="nil"/>
              <w:left w:val="single" w:sz="4" w:space="0" w:color="auto"/>
              <w:bottom w:val="nil"/>
              <w:right w:val="single" w:sz="4" w:space="0" w:color="auto"/>
            </w:tcBorders>
          </w:tcPr>
          <w:p w14:paraId="453E0A5A" w14:textId="77777777" w:rsidR="00A20AFF" w:rsidRDefault="00A20AFF" w:rsidP="00D909DC">
            <w:pPr>
              <w:pStyle w:val="IUCrtabletext"/>
            </w:pPr>
            <w:r>
              <w:rPr>
                <w:szCs w:val="20"/>
              </w:rPr>
              <w:t>340</w:t>
            </w:r>
          </w:p>
        </w:tc>
        <w:tc>
          <w:tcPr>
            <w:tcW w:w="640" w:type="pct"/>
            <w:tcBorders>
              <w:top w:val="nil"/>
              <w:left w:val="single" w:sz="4" w:space="0" w:color="auto"/>
              <w:bottom w:val="nil"/>
              <w:right w:val="single" w:sz="4" w:space="0" w:color="auto"/>
            </w:tcBorders>
          </w:tcPr>
          <w:p w14:paraId="781FE9EC" w14:textId="77777777" w:rsidR="00A20AFF" w:rsidRDefault="00A20AFF" w:rsidP="00D909DC">
            <w:pPr>
              <w:pStyle w:val="IUCrtabletext"/>
            </w:pPr>
            <w:r>
              <w:rPr>
                <w:szCs w:val="20"/>
              </w:rPr>
              <w:t>600</w:t>
            </w:r>
          </w:p>
        </w:tc>
        <w:tc>
          <w:tcPr>
            <w:tcW w:w="430" w:type="pct"/>
            <w:tcBorders>
              <w:top w:val="nil"/>
              <w:left w:val="single" w:sz="4" w:space="0" w:color="auto"/>
              <w:bottom w:val="nil"/>
              <w:right w:val="nil"/>
            </w:tcBorders>
          </w:tcPr>
          <w:p w14:paraId="7B5DEAA8" w14:textId="77777777" w:rsidR="00A20AFF" w:rsidRDefault="00A20AFF" w:rsidP="00D909DC">
            <w:pPr>
              <w:pStyle w:val="IUCrtabletext"/>
            </w:pPr>
            <w:r>
              <w:rPr>
                <w:szCs w:val="20"/>
              </w:rPr>
              <w:t>100</w:t>
            </w:r>
          </w:p>
        </w:tc>
      </w:tr>
      <w:tr w:rsidR="00A20AFF" w14:paraId="3568A3E1" w14:textId="77777777" w:rsidTr="00D909DC">
        <w:trPr>
          <w:trHeight w:val="390"/>
        </w:trPr>
        <w:tc>
          <w:tcPr>
            <w:tcW w:w="351" w:type="pct"/>
            <w:tcBorders>
              <w:top w:val="nil"/>
              <w:left w:val="nil"/>
              <w:bottom w:val="nil"/>
              <w:right w:val="single" w:sz="4" w:space="0" w:color="auto"/>
            </w:tcBorders>
          </w:tcPr>
          <w:p w14:paraId="6AC4E6AE" w14:textId="77777777" w:rsidR="00A20AFF" w:rsidRDefault="00A20AFF" w:rsidP="00D909DC">
            <w:pPr>
              <w:pStyle w:val="IUCrtabletext"/>
              <w:rPr>
                <w:szCs w:val="20"/>
              </w:rPr>
            </w:pPr>
            <w:r>
              <w:rPr>
                <w:szCs w:val="20"/>
              </w:rPr>
              <w:t>129</w:t>
            </w:r>
          </w:p>
        </w:tc>
        <w:tc>
          <w:tcPr>
            <w:tcW w:w="503" w:type="pct"/>
            <w:tcBorders>
              <w:top w:val="nil"/>
              <w:left w:val="single" w:sz="4" w:space="0" w:color="auto"/>
              <w:bottom w:val="nil"/>
              <w:right w:val="single" w:sz="4" w:space="0" w:color="auto"/>
            </w:tcBorders>
          </w:tcPr>
          <w:p w14:paraId="1ED2925B" w14:textId="77777777" w:rsidR="00A20AFF" w:rsidRDefault="00A20AFF" w:rsidP="00D909DC">
            <w:pPr>
              <w:pStyle w:val="IUCrtabletext"/>
              <w:rPr>
                <w:szCs w:val="20"/>
              </w:rPr>
            </w:pPr>
            <w:proofErr w:type="spellStart"/>
            <w:r>
              <w:rPr>
                <w:szCs w:val="20"/>
              </w:rPr>
              <w:t>Ti</w:t>
            </w:r>
            <w:proofErr w:type="spellEnd"/>
          </w:p>
        </w:tc>
        <w:tc>
          <w:tcPr>
            <w:tcW w:w="545" w:type="pct"/>
            <w:tcBorders>
              <w:top w:val="nil"/>
              <w:left w:val="single" w:sz="4" w:space="0" w:color="auto"/>
              <w:bottom w:val="nil"/>
              <w:right w:val="single" w:sz="4" w:space="0" w:color="auto"/>
            </w:tcBorders>
          </w:tcPr>
          <w:p w14:paraId="0F456B54" w14:textId="77777777" w:rsidR="00A20AFF" w:rsidRDefault="00A20AFF" w:rsidP="00D909DC">
            <w:pPr>
              <w:pStyle w:val="IUCrtabletext"/>
              <w:rPr>
                <w:szCs w:val="20"/>
              </w:rPr>
            </w:pPr>
            <w:proofErr w:type="spellStart"/>
            <w:r>
              <w:rPr>
                <w:szCs w:val="20"/>
              </w:rPr>
              <w:t>LiF</w:t>
            </w:r>
            <w:proofErr w:type="spellEnd"/>
            <w:r>
              <w:rPr>
                <w:szCs w:val="20"/>
              </w:rPr>
              <w:t xml:space="preserve">, </w:t>
            </w:r>
            <w:proofErr w:type="spellStart"/>
            <w:r>
              <w:rPr>
                <w:szCs w:val="20"/>
              </w:rPr>
              <w:t>cBN</w:t>
            </w:r>
            <w:proofErr w:type="spellEnd"/>
          </w:p>
        </w:tc>
        <w:tc>
          <w:tcPr>
            <w:tcW w:w="383" w:type="pct"/>
            <w:tcBorders>
              <w:top w:val="nil"/>
              <w:left w:val="single" w:sz="4" w:space="0" w:color="auto"/>
              <w:bottom w:val="nil"/>
              <w:right w:val="single" w:sz="4" w:space="0" w:color="auto"/>
            </w:tcBorders>
          </w:tcPr>
          <w:p w14:paraId="753326D1" w14:textId="77777777" w:rsidR="00A20AFF" w:rsidRDefault="00A20AFF" w:rsidP="00D909DC">
            <w:pPr>
              <w:pStyle w:val="IUCrtabletext"/>
              <w:rPr>
                <w:szCs w:val="20"/>
              </w:rPr>
            </w:pPr>
            <w:r>
              <w:rPr>
                <w:szCs w:val="20"/>
              </w:rPr>
              <w:t>None</w:t>
            </w:r>
          </w:p>
        </w:tc>
        <w:tc>
          <w:tcPr>
            <w:tcW w:w="788" w:type="pct"/>
            <w:tcBorders>
              <w:top w:val="nil"/>
              <w:left w:val="single" w:sz="4" w:space="0" w:color="auto"/>
              <w:bottom w:val="nil"/>
              <w:right w:val="single" w:sz="4" w:space="0" w:color="auto"/>
            </w:tcBorders>
          </w:tcPr>
          <w:p w14:paraId="46650DB2" w14:textId="77777777" w:rsidR="00A20AFF" w:rsidRDefault="00A20AFF" w:rsidP="00D909DC">
            <w:pPr>
              <w:pStyle w:val="IUCrtabletext"/>
              <w:rPr>
                <w:szCs w:val="20"/>
              </w:rPr>
            </w:pPr>
            <w:r>
              <w:rPr>
                <w:szCs w:val="20"/>
              </w:rPr>
              <w:t>3</w:t>
            </w:r>
          </w:p>
        </w:tc>
        <w:tc>
          <w:tcPr>
            <w:tcW w:w="545" w:type="pct"/>
            <w:tcBorders>
              <w:top w:val="nil"/>
              <w:left w:val="single" w:sz="4" w:space="0" w:color="auto"/>
              <w:bottom w:val="nil"/>
              <w:right w:val="single" w:sz="4" w:space="0" w:color="auto"/>
            </w:tcBorders>
          </w:tcPr>
          <w:p w14:paraId="2DCB438D" w14:textId="77777777" w:rsidR="00A20AFF" w:rsidRDefault="00A20AFF" w:rsidP="00D909DC">
            <w:pPr>
              <w:pStyle w:val="IUCrtabletext"/>
              <w:rPr>
                <w:szCs w:val="20"/>
              </w:rPr>
            </w:pPr>
            <w:r>
              <w:rPr>
                <w:szCs w:val="20"/>
              </w:rPr>
              <w:t>7 ± 3</w:t>
            </w:r>
          </w:p>
        </w:tc>
        <w:tc>
          <w:tcPr>
            <w:tcW w:w="459" w:type="pct"/>
            <w:tcBorders>
              <w:top w:val="nil"/>
              <w:left w:val="single" w:sz="4" w:space="0" w:color="auto"/>
              <w:bottom w:val="nil"/>
              <w:right w:val="single" w:sz="4" w:space="0" w:color="auto"/>
            </w:tcBorders>
          </w:tcPr>
          <w:p w14:paraId="69EB428D" w14:textId="77777777" w:rsidR="00A20AFF" w:rsidRDefault="00A20AFF" w:rsidP="00D909DC">
            <w:pPr>
              <w:pStyle w:val="IUCrtabletext"/>
              <w:rPr>
                <w:szCs w:val="20"/>
              </w:rPr>
            </w:pPr>
            <w:r>
              <w:rPr>
                <w:szCs w:val="20"/>
              </w:rPr>
              <w:t>DESY</w:t>
            </w:r>
          </w:p>
        </w:tc>
        <w:tc>
          <w:tcPr>
            <w:tcW w:w="356" w:type="pct"/>
            <w:tcBorders>
              <w:top w:val="nil"/>
              <w:left w:val="single" w:sz="4" w:space="0" w:color="auto"/>
              <w:bottom w:val="nil"/>
              <w:right w:val="single" w:sz="4" w:space="0" w:color="auto"/>
            </w:tcBorders>
          </w:tcPr>
          <w:p w14:paraId="0164FC42" w14:textId="77777777" w:rsidR="00A20AFF" w:rsidRDefault="00A20AFF" w:rsidP="00D909DC">
            <w:pPr>
              <w:pStyle w:val="IUCrtabletext"/>
              <w:rPr>
                <w:szCs w:val="20"/>
              </w:rPr>
            </w:pPr>
            <w:r>
              <w:rPr>
                <w:szCs w:val="20"/>
              </w:rPr>
              <w:t>960</w:t>
            </w:r>
          </w:p>
        </w:tc>
        <w:tc>
          <w:tcPr>
            <w:tcW w:w="640" w:type="pct"/>
            <w:tcBorders>
              <w:top w:val="nil"/>
              <w:left w:val="single" w:sz="4" w:space="0" w:color="auto"/>
              <w:bottom w:val="nil"/>
              <w:right w:val="single" w:sz="4" w:space="0" w:color="auto"/>
            </w:tcBorders>
          </w:tcPr>
          <w:p w14:paraId="1A2E2C12" w14:textId="77777777" w:rsidR="00A20AFF" w:rsidRDefault="00A20AFF" w:rsidP="00D909DC">
            <w:pPr>
              <w:pStyle w:val="IUCrtabletext"/>
              <w:rPr>
                <w:szCs w:val="20"/>
              </w:rPr>
            </w:pPr>
            <w:r>
              <w:rPr>
                <w:szCs w:val="20"/>
              </w:rPr>
              <w:t>800</w:t>
            </w:r>
          </w:p>
        </w:tc>
        <w:tc>
          <w:tcPr>
            <w:tcW w:w="430" w:type="pct"/>
            <w:tcBorders>
              <w:top w:val="nil"/>
              <w:left w:val="single" w:sz="4" w:space="0" w:color="auto"/>
              <w:bottom w:val="nil"/>
              <w:right w:val="nil"/>
            </w:tcBorders>
          </w:tcPr>
          <w:p w14:paraId="785D7BF0" w14:textId="77777777" w:rsidR="00A20AFF" w:rsidRDefault="00A20AFF" w:rsidP="00D909DC">
            <w:pPr>
              <w:pStyle w:val="IUCrtabletext"/>
              <w:rPr>
                <w:szCs w:val="20"/>
              </w:rPr>
            </w:pPr>
            <w:r>
              <w:rPr>
                <w:szCs w:val="20"/>
              </w:rPr>
              <w:t>760</w:t>
            </w:r>
          </w:p>
        </w:tc>
      </w:tr>
      <w:tr w:rsidR="00A20AFF" w14:paraId="63F20754" w14:textId="77777777" w:rsidTr="00D909DC">
        <w:trPr>
          <w:trHeight w:val="390"/>
        </w:trPr>
        <w:tc>
          <w:tcPr>
            <w:tcW w:w="351" w:type="pct"/>
            <w:tcBorders>
              <w:top w:val="nil"/>
              <w:left w:val="nil"/>
              <w:bottom w:val="nil"/>
              <w:right w:val="single" w:sz="4" w:space="0" w:color="auto"/>
            </w:tcBorders>
          </w:tcPr>
          <w:p w14:paraId="0A63D060" w14:textId="77777777" w:rsidR="00A20AFF" w:rsidRDefault="00A20AFF" w:rsidP="00D909DC">
            <w:pPr>
              <w:pStyle w:val="IUCrtabletext"/>
              <w:rPr>
                <w:szCs w:val="20"/>
              </w:rPr>
            </w:pPr>
            <w:r>
              <w:rPr>
                <w:szCs w:val="20"/>
              </w:rPr>
              <w:t>140</w:t>
            </w:r>
          </w:p>
        </w:tc>
        <w:tc>
          <w:tcPr>
            <w:tcW w:w="503" w:type="pct"/>
            <w:tcBorders>
              <w:top w:val="nil"/>
              <w:left w:val="single" w:sz="4" w:space="0" w:color="auto"/>
              <w:bottom w:val="nil"/>
              <w:right w:val="single" w:sz="4" w:space="0" w:color="auto"/>
            </w:tcBorders>
          </w:tcPr>
          <w:p w14:paraId="323D99FD" w14:textId="77777777" w:rsidR="00A20AFF" w:rsidRDefault="00A20AFF" w:rsidP="00D909DC">
            <w:pPr>
              <w:pStyle w:val="IUCrtabletext"/>
              <w:rPr>
                <w:szCs w:val="20"/>
              </w:rPr>
            </w:pPr>
            <w:r>
              <w:rPr>
                <w:szCs w:val="20"/>
              </w:rPr>
              <w:t>N</w:t>
            </w:r>
            <w:r>
              <w:rPr>
                <w:szCs w:val="20"/>
                <w:vertAlign w:val="subscript"/>
              </w:rPr>
              <w:t>2</w:t>
            </w:r>
          </w:p>
        </w:tc>
        <w:tc>
          <w:tcPr>
            <w:tcW w:w="545" w:type="pct"/>
            <w:tcBorders>
              <w:top w:val="nil"/>
              <w:left w:val="single" w:sz="4" w:space="0" w:color="auto"/>
              <w:bottom w:val="nil"/>
              <w:right w:val="single" w:sz="4" w:space="0" w:color="auto"/>
            </w:tcBorders>
          </w:tcPr>
          <w:p w14:paraId="004951B6" w14:textId="77777777" w:rsidR="00A20AFF" w:rsidRDefault="00A20AFF" w:rsidP="00D909DC">
            <w:pPr>
              <w:pStyle w:val="IUCrtabletext"/>
              <w:rPr>
                <w:szCs w:val="20"/>
              </w:rPr>
            </w:pPr>
            <w:proofErr w:type="spellStart"/>
            <w:r>
              <w:rPr>
                <w:szCs w:val="20"/>
              </w:rPr>
              <w:t>LiF</w:t>
            </w:r>
            <w:proofErr w:type="spellEnd"/>
          </w:p>
        </w:tc>
        <w:tc>
          <w:tcPr>
            <w:tcW w:w="383" w:type="pct"/>
            <w:tcBorders>
              <w:top w:val="nil"/>
              <w:left w:val="single" w:sz="4" w:space="0" w:color="auto"/>
              <w:bottom w:val="nil"/>
              <w:right w:val="single" w:sz="4" w:space="0" w:color="auto"/>
            </w:tcBorders>
          </w:tcPr>
          <w:p w14:paraId="17D05B95" w14:textId="77777777" w:rsidR="00A20AFF" w:rsidRDefault="00A20AFF" w:rsidP="00D909DC">
            <w:pPr>
              <w:pStyle w:val="IUCrtabletext"/>
              <w:rPr>
                <w:szCs w:val="20"/>
              </w:rPr>
            </w:pPr>
            <w:r>
              <w:rPr>
                <w:szCs w:val="20"/>
              </w:rPr>
              <w:t>N/A</w:t>
            </w:r>
          </w:p>
        </w:tc>
        <w:tc>
          <w:tcPr>
            <w:tcW w:w="788" w:type="pct"/>
            <w:tcBorders>
              <w:top w:val="nil"/>
              <w:left w:val="single" w:sz="4" w:space="0" w:color="auto"/>
              <w:bottom w:val="nil"/>
              <w:right w:val="single" w:sz="4" w:space="0" w:color="auto"/>
            </w:tcBorders>
          </w:tcPr>
          <w:p w14:paraId="2F5619E8" w14:textId="77777777" w:rsidR="00A20AFF" w:rsidRDefault="00A20AFF" w:rsidP="00D909DC">
            <w:pPr>
              <w:pStyle w:val="IUCrtabletext"/>
              <w:rPr>
                <w:szCs w:val="20"/>
              </w:rPr>
            </w:pPr>
            <w:r>
              <w:rPr>
                <w:szCs w:val="20"/>
              </w:rPr>
              <w:t>75</w:t>
            </w:r>
          </w:p>
        </w:tc>
        <w:tc>
          <w:tcPr>
            <w:tcW w:w="545" w:type="pct"/>
            <w:tcBorders>
              <w:top w:val="nil"/>
              <w:left w:val="single" w:sz="4" w:space="0" w:color="auto"/>
              <w:bottom w:val="nil"/>
              <w:right w:val="single" w:sz="4" w:space="0" w:color="auto"/>
            </w:tcBorders>
          </w:tcPr>
          <w:p w14:paraId="152C92A9" w14:textId="77777777" w:rsidR="00A20AFF" w:rsidRDefault="00A20AFF" w:rsidP="00D909DC">
            <w:pPr>
              <w:pStyle w:val="IUCrtabletext"/>
              <w:rPr>
                <w:szCs w:val="20"/>
              </w:rPr>
            </w:pPr>
            <w:r>
              <w:rPr>
                <w:szCs w:val="20"/>
              </w:rPr>
              <w:t>220 ± 50</w:t>
            </w:r>
          </w:p>
        </w:tc>
        <w:tc>
          <w:tcPr>
            <w:tcW w:w="459" w:type="pct"/>
            <w:tcBorders>
              <w:top w:val="nil"/>
              <w:left w:val="single" w:sz="4" w:space="0" w:color="auto"/>
              <w:bottom w:val="nil"/>
              <w:right w:val="single" w:sz="4" w:space="0" w:color="auto"/>
            </w:tcBorders>
          </w:tcPr>
          <w:p w14:paraId="6A031DFB" w14:textId="77777777" w:rsidR="00A20AFF" w:rsidRDefault="00A20AFF" w:rsidP="00D909DC">
            <w:pPr>
              <w:pStyle w:val="IUCrtabletext"/>
              <w:rPr>
                <w:szCs w:val="20"/>
              </w:rPr>
            </w:pPr>
            <w:r>
              <w:rPr>
                <w:szCs w:val="20"/>
              </w:rPr>
              <w:t>LLNL</w:t>
            </w:r>
          </w:p>
        </w:tc>
        <w:tc>
          <w:tcPr>
            <w:tcW w:w="356" w:type="pct"/>
            <w:tcBorders>
              <w:top w:val="nil"/>
              <w:left w:val="single" w:sz="4" w:space="0" w:color="auto"/>
              <w:bottom w:val="nil"/>
              <w:right w:val="single" w:sz="4" w:space="0" w:color="auto"/>
            </w:tcBorders>
          </w:tcPr>
          <w:p w14:paraId="14A2160E" w14:textId="77777777" w:rsidR="00A20AFF" w:rsidRDefault="00A20AFF" w:rsidP="00D909DC">
            <w:pPr>
              <w:pStyle w:val="IUCrtabletext"/>
              <w:rPr>
                <w:szCs w:val="20"/>
              </w:rPr>
            </w:pPr>
            <w:r>
              <w:rPr>
                <w:szCs w:val="20"/>
              </w:rPr>
              <w:t>340</w:t>
            </w:r>
          </w:p>
        </w:tc>
        <w:tc>
          <w:tcPr>
            <w:tcW w:w="640" w:type="pct"/>
            <w:tcBorders>
              <w:top w:val="nil"/>
              <w:left w:val="single" w:sz="4" w:space="0" w:color="auto"/>
              <w:bottom w:val="nil"/>
              <w:right w:val="single" w:sz="4" w:space="0" w:color="auto"/>
            </w:tcBorders>
          </w:tcPr>
          <w:p w14:paraId="2934D1D5" w14:textId="77777777" w:rsidR="00A20AFF" w:rsidRDefault="00A20AFF" w:rsidP="00D909DC">
            <w:pPr>
              <w:pStyle w:val="IUCrtabletext"/>
              <w:rPr>
                <w:szCs w:val="20"/>
              </w:rPr>
            </w:pPr>
            <w:r>
              <w:rPr>
                <w:szCs w:val="20"/>
              </w:rPr>
              <w:t>1000</w:t>
            </w:r>
          </w:p>
        </w:tc>
        <w:tc>
          <w:tcPr>
            <w:tcW w:w="430" w:type="pct"/>
            <w:tcBorders>
              <w:top w:val="nil"/>
              <w:left w:val="single" w:sz="4" w:space="0" w:color="auto"/>
              <w:bottom w:val="nil"/>
              <w:right w:val="nil"/>
            </w:tcBorders>
          </w:tcPr>
          <w:p w14:paraId="6A629B70" w14:textId="77777777" w:rsidR="00A20AFF" w:rsidRDefault="00A20AFF" w:rsidP="00D909DC">
            <w:pPr>
              <w:pStyle w:val="IUCrtabletext"/>
              <w:rPr>
                <w:szCs w:val="20"/>
              </w:rPr>
            </w:pPr>
            <w:r>
              <w:rPr>
                <w:szCs w:val="20"/>
              </w:rPr>
              <w:t>150</w:t>
            </w:r>
          </w:p>
        </w:tc>
      </w:tr>
      <w:tr w:rsidR="00A20AFF" w14:paraId="0A7750B4" w14:textId="77777777" w:rsidTr="00D909DC">
        <w:trPr>
          <w:trHeight w:val="390"/>
        </w:trPr>
        <w:tc>
          <w:tcPr>
            <w:tcW w:w="351" w:type="pct"/>
            <w:tcBorders>
              <w:top w:val="nil"/>
              <w:left w:val="nil"/>
              <w:bottom w:val="single" w:sz="4" w:space="0" w:color="auto"/>
              <w:right w:val="single" w:sz="4" w:space="0" w:color="auto"/>
            </w:tcBorders>
          </w:tcPr>
          <w:p w14:paraId="57101414" w14:textId="77777777" w:rsidR="00A20AFF" w:rsidRDefault="00A20AFF" w:rsidP="00D909DC">
            <w:pPr>
              <w:pStyle w:val="IUCrtabletext"/>
              <w:rPr>
                <w:szCs w:val="20"/>
              </w:rPr>
            </w:pPr>
            <w:r>
              <w:rPr>
                <w:szCs w:val="20"/>
              </w:rPr>
              <w:t>93</w:t>
            </w:r>
          </w:p>
        </w:tc>
        <w:tc>
          <w:tcPr>
            <w:tcW w:w="503" w:type="pct"/>
            <w:tcBorders>
              <w:top w:val="nil"/>
              <w:left w:val="single" w:sz="4" w:space="0" w:color="auto"/>
              <w:bottom w:val="single" w:sz="4" w:space="0" w:color="auto"/>
              <w:right w:val="single" w:sz="4" w:space="0" w:color="auto"/>
            </w:tcBorders>
          </w:tcPr>
          <w:p w14:paraId="1EDF390E" w14:textId="77777777" w:rsidR="00A20AFF" w:rsidRDefault="00A20AFF" w:rsidP="00D909DC">
            <w:pPr>
              <w:pStyle w:val="IUCrtabletext"/>
              <w:rPr>
                <w:szCs w:val="20"/>
              </w:rPr>
            </w:pPr>
            <w:r>
              <w:rPr>
                <w:szCs w:val="20"/>
              </w:rPr>
              <w:t>H</w:t>
            </w:r>
            <w:r>
              <w:rPr>
                <w:szCs w:val="20"/>
                <w:vertAlign w:val="subscript"/>
              </w:rPr>
              <w:t>2</w:t>
            </w:r>
            <w:r>
              <w:rPr>
                <w:szCs w:val="20"/>
              </w:rPr>
              <w:t>O</w:t>
            </w:r>
          </w:p>
        </w:tc>
        <w:tc>
          <w:tcPr>
            <w:tcW w:w="545" w:type="pct"/>
            <w:tcBorders>
              <w:top w:val="nil"/>
              <w:left w:val="single" w:sz="4" w:space="0" w:color="auto"/>
              <w:bottom w:val="single" w:sz="4" w:space="0" w:color="auto"/>
              <w:right w:val="single" w:sz="4" w:space="0" w:color="auto"/>
            </w:tcBorders>
          </w:tcPr>
          <w:p w14:paraId="749C963D" w14:textId="77777777" w:rsidR="00A20AFF" w:rsidRDefault="00A20AFF" w:rsidP="00D909DC">
            <w:pPr>
              <w:pStyle w:val="IUCrtabletext"/>
              <w:rPr>
                <w:szCs w:val="20"/>
              </w:rPr>
            </w:pPr>
            <w:proofErr w:type="spellStart"/>
            <w:r>
              <w:rPr>
                <w:szCs w:val="20"/>
              </w:rPr>
              <w:t>cBN</w:t>
            </w:r>
            <w:proofErr w:type="spellEnd"/>
          </w:p>
        </w:tc>
        <w:tc>
          <w:tcPr>
            <w:tcW w:w="383" w:type="pct"/>
            <w:tcBorders>
              <w:top w:val="nil"/>
              <w:left w:val="single" w:sz="4" w:space="0" w:color="auto"/>
              <w:bottom w:val="single" w:sz="4" w:space="0" w:color="auto"/>
              <w:right w:val="single" w:sz="4" w:space="0" w:color="auto"/>
            </w:tcBorders>
          </w:tcPr>
          <w:p w14:paraId="363C9F4B" w14:textId="77777777" w:rsidR="00A20AFF" w:rsidRDefault="00A20AFF" w:rsidP="00D909DC">
            <w:pPr>
              <w:pStyle w:val="IUCrtabletext"/>
              <w:rPr>
                <w:szCs w:val="20"/>
              </w:rPr>
            </w:pPr>
            <w:r>
              <w:rPr>
                <w:szCs w:val="20"/>
              </w:rPr>
              <w:t>N/A</w:t>
            </w:r>
          </w:p>
        </w:tc>
        <w:tc>
          <w:tcPr>
            <w:tcW w:w="788" w:type="pct"/>
            <w:tcBorders>
              <w:top w:val="nil"/>
              <w:left w:val="single" w:sz="4" w:space="0" w:color="auto"/>
              <w:bottom w:val="single" w:sz="4" w:space="0" w:color="auto"/>
              <w:right w:val="single" w:sz="4" w:space="0" w:color="auto"/>
            </w:tcBorders>
          </w:tcPr>
          <w:p w14:paraId="4EB7C0E9" w14:textId="77777777" w:rsidR="00A20AFF" w:rsidRDefault="00A20AFF" w:rsidP="00D909DC">
            <w:pPr>
              <w:pStyle w:val="IUCrtabletext"/>
              <w:rPr>
                <w:szCs w:val="20"/>
              </w:rPr>
            </w:pPr>
            <w:r>
              <w:rPr>
                <w:szCs w:val="20"/>
              </w:rPr>
              <w:t>25</w:t>
            </w:r>
          </w:p>
        </w:tc>
        <w:tc>
          <w:tcPr>
            <w:tcW w:w="545" w:type="pct"/>
            <w:tcBorders>
              <w:top w:val="nil"/>
              <w:left w:val="single" w:sz="4" w:space="0" w:color="auto"/>
              <w:bottom w:val="single" w:sz="4" w:space="0" w:color="auto"/>
              <w:right w:val="single" w:sz="4" w:space="0" w:color="auto"/>
            </w:tcBorders>
          </w:tcPr>
          <w:p w14:paraId="7A707B1D" w14:textId="77777777" w:rsidR="00A20AFF" w:rsidRDefault="00A20AFF" w:rsidP="00D909DC">
            <w:pPr>
              <w:pStyle w:val="IUCrtabletext"/>
              <w:rPr>
                <w:szCs w:val="20"/>
              </w:rPr>
            </w:pPr>
            <w:r>
              <w:rPr>
                <w:szCs w:val="20"/>
              </w:rPr>
              <w:t>60 ± 20</w:t>
            </w:r>
          </w:p>
        </w:tc>
        <w:tc>
          <w:tcPr>
            <w:tcW w:w="459" w:type="pct"/>
            <w:tcBorders>
              <w:top w:val="nil"/>
              <w:left w:val="single" w:sz="4" w:space="0" w:color="auto"/>
              <w:bottom w:val="single" w:sz="4" w:space="0" w:color="auto"/>
              <w:right w:val="single" w:sz="4" w:space="0" w:color="auto"/>
            </w:tcBorders>
          </w:tcPr>
          <w:p w14:paraId="48300AE2" w14:textId="77777777" w:rsidR="00A20AFF" w:rsidRDefault="00A20AFF" w:rsidP="00D909DC">
            <w:pPr>
              <w:pStyle w:val="IUCrtabletext"/>
              <w:rPr>
                <w:szCs w:val="20"/>
              </w:rPr>
            </w:pPr>
            <w:r>
              <w:rPr>
                <w:szCs w:val="20"/>
              </w:rPr>
              <w:t>DESY</w:t>
            </w:r>
          </w:p>
        </w:tc>
        <w:tc>
          <w:tcPr>
            <w:tcW w:w="356" w:type="pct"/>
            <w:tcBorders>
              <w:top w:val="nil"/>
              <w:left w:val="single" w:sz="4" w:space="0" w:color="auto"/>
              <w:bottom w:val="single" w:sz="4" w:space="0" w:color="auto"/>
              <w:right w:val="single" w:sz="4" w:space="0" w:color="auto"/>
            </w:tcBorders>
          </w:tcPr>
          <w:p w14:paraId="761E69F9" w14:textId="77777777" w:rsidR="00A20AFF" w:rsidRDefault="00A20AFF" w:rsidP="00D909DC">
            <w:pPr>
              <w:pStyle w:val="IUCrtabletext"/>
              <w:rPr>
                <w:szCs w:val="20"/>
              </w:rPr>
            </w:pPr>
            <w:r>
              <w:rPr>
                <w:szCs w:val="20"/>
              </w:rPr>
              <w:t>840</w:t>
            </w:r>
          </w:p>
        </w:tc>
        <w:tc>
          <w:tcPr>
            <w:tcW w:w="640" w:type="pct"/>
            <w:tcBorders>
              <w:top w:val="nil"/>
              <w:left w:val="single" w:sz="4" w:space="0" w:color="auto"/>
              <w:bottom w:val="single" w:sz="4" w:space="0" w:color="auto"/>
              <w:right w:val="single" w:sz="4" w:space="0" w:color="auto"/>
            </w:tcBorders>
          </w:tcPr>
          <w:p w14:paraId="07D4688D" w14:textId="77777777" w:rsidR="00A20AFF" w:rsidRDefault="00A20AFF" w:rsidP="00D909DC">
            <w:pPr>
              <w:pStyle w:val="IUCrtabletext"/>
              <w:rPr>
                <w:szCs w:val="20"/>
              </w:rPr>
            </w:pPr>
            <w:r>
              <w:rPr>
                <w:szCs w:val="20"/>
              </w:rPr>
              <w:t>700</w:t>
            </w:r>
          </w:p>
        </w:tc>
        <w:tc>
          <w:tcPr>
            <w:tcW w:w="430" w:type="pct"/>
            <w:tcBorders>
              <w:top w:val="nil"/>
              <w:left w:val="single" w:sz="4" w:space="0" w:color="auto"/>
              <w:bottom w:val="single" w:sz="4" w:space="0" w:color="auto"/>
              <w:right w:val="nil"/>
            </w:tcBorders>
          </w:tcPr>
          <w:p w14:paraId="7ABB9CB2" w14:textId="77777777" w:rsidR="00A20AFF" w:rsidRDefault="00A20AFF" w:rsidP="00D909DC">
            <w:pPr>
              <w:pStyle w:val="IUCrtabletext"/>
              <w:rPr>
                <w:szCs w:val="20"/>
              </w:rPr>
            </w:pPr>
            <w:r>
              <w:rPr>
                <w:szCs w:val="20"/>
              </w:rPr>
              <w:t>440</w:t>
            </w:r>
          </w:p>
        </w:tc>
      </w:tr>
    </w:tbl>
    <w:p w14:paraId="1E5FBC92" w14:textId="77777777" w:rsidR="00A20AFF" w:rsidRPr="00626126" w:rsidRDefault="00A20AFF" w:rsidP="00A20AFF">
      <w:pPr>
        <w:pStyle w:val="IUCrheading2"/>
        <w:numPr>
          <w:ilvl w:val="1"/>
          <w:numId w:val="34"/>
        </w:numPr>
        <w:textAlignment w:val="auto"/>
      </w:pPr>
      <w:r>
        <w:t>Diffraction data analysis</w:t>
      </w:r>
    </w:p>
    <w:p w14:paraId="59D1E2D6" w14:textId="1145A0E9" w:rsidR="00A20AFF" w:rsidRDefault="00A20AFF" w:rsidP="00A20AFF">
      <w:pPr>
        <w:pStyle w:val="IUCrbodytext"/>
      </w:pPr>
      <w:r w:rsidRPr="004742BD">
        <w:t xml:space="preserve">A total of 216 </w:t>
      </w:r>
      <w:r w:rsidRPr="004742BD">
        <w:rPr>
          <w:rStyle w:val="IUCrbodytextChar"/>
          <w:rFonts w:eastAsiaTheme="minorHAnsi"/>
        </w:rPr>
        <w:t xml:space="preserve">diffraction images were recorded for each run, which were radially-integrated using DIOPTAS </w:t>
      </w:r>
      <w:r>
        <w:rPr>
          <w:rStyle w:val="IUCrbodytextChar"/>
          <w:rFonts w:eastAsiaTheme="minorHAnsi"/>
        </w:rPr>
        <w:fldChar w:fldCharType="begin"/>
      </w:r>
      <w:r>
        <w:rPr>
          <w:rStyle w:val="IUCrbodytextChar"/>
          <w:rFonts w:eastAsiaTheme="minorHAnsi"/>
        </w:rPr>
        <w:instrText xml:space="preserve"> ADDIN ZOTERO_ITEM CSL_CITATION {"citationID":"safeWepw","properties":{"formattedCitation":"(Prescher &amp; Prakapenka, 2015)","plainCitation":"(Prescher &amp; Prakapenka, 2015)","noteIndex":0},"citationItems":[{"id":132,"uris":["http://zotero.org/users/local/dwaXvkNj/items/K43ICBC9"],"uri":["http://zotero.org/users/local/dwaXvkNj/items/K43ICBC9"],"itemData":{"id":132,"type":"article-journal","title":"DIOPTAS: a program for reduction of two-dimensional X-ray diffraction data and data exploration","container-title":"High Pressure Research","page":"223-230","volume":"35","issue":"3","source":"Taylor and Francis+NEJM","abstract":"The amount of data collected during synchrotron X-ray diffraction (XRD) experiments is constantly increasing. Most of the time, the data are collected with image detectors, which necessitates the use of image reduction/integration routines to extract structural information from measured XRD patterns. This step turns out to be a bottleneck in the data processing procedure due to a lack of suitable software packages. In particular, fast-running synchrotron experiments require online data reduction and analysis in real time so that experimental parameters can be adjusted interactively. Dioptas is a Python-based program for on-the-fly data processing and exploration of two-dimensional X-ray diffraction area detector data, specifically designed for the large amount of data collected at XRD beamlines at synchrotrons. Its fast data reduction algorithm and graphical data exploration capabilities make it ideal for online data processing during XRD experiments and batch post-processing of large numbers of images.","DOI":"10.1080/08957959.2015.1059835","ISSN":"0895-7959","shortTitle":"DIOPTAS","journalAbbreviation":"High Press. Res.","author":[{"family":"Prescher","given":"Clemens"},{"family":"Prakapenka","given":"Vitali B."}],"issued":{"date-parts":[["2015",7,3]]}}}],"schema":"https://github.com/citation-style-language/schema/raw/master/csl-citation.json"} </w:instrText>
      </w:r>
      <w:r>
        <w:rPr>
          <w:rStyle w:val="IUCrbodytextChar"/>
          <w:rFonts w:eastAsiaTheme="minorHAnsi"/>
        </w:rPr>
        <w:fldChar w:fldCharType="separate"/>
      </w:r>
      <w:r w:rsidRPr="000F5130">
        <w:t>(Prescher &amp; Prakapenka, 2015)</w:t>
      </w:r>
      <w:r>
        <w:rPr>
          <w:rStyle w:val="IUCrbodytextChar"/>
          <w:rFonts w:eastAsiaTheme="minorHAnsi"/>
        </w:rPr>
        <w:fldChar w:fldCharType="end"/>
      </w:r>
      <w:r w:rsidRPr="004742BD">
        <w:rPr>
          <w:rStyle w:val="IUCrbodytextChar"/>
          <w:rFonts w:eastAsiaTheme="minorHAnsi"/>
        </w:rPr>
        <w:t xml:space="preserve"> to produce 1D diffraction profiles from each frame. For runs performed usi</w:t>
      </w:r>
      <w:r w:rsidRPr="004742BD">
        <w:t xml:space="preserve">ng an X-ray transmission of &gt;1%, the diffraction images were normalized to the </w:t>
      </w:r>
      <w:r>
        <w:t>IPM</w:t>
      </w:r>
      <w:r w:rsidRPr="004742BD">
        <w:t xml:space="preserve"> signal to account for intensity fluctuations of the incident beam energy</w:t>
      </w:r>
      <w:r>
        <w:t xml:space="preserve"> during the pulse train</w:t>
      </w:r>
      <w:r w:rsidRPr="004742BD">
        <w:t xml:space="preserve"> prior to integration.</w:t>
      </w:r>
      <w:r>
        <w:t xml:space="preserve"> This method of normalization was not possible for runs collected at lower X-ray transmissions because there was not sufficient signal on the IPM.</w:t>
      </w:r>
      <w:r w:rsidRPr="004742BD">
        <w:t xml:space="preserve"> The sample pressure was determined from the unit cell volume of the sample and/or </w:t>
      </w:r>
      <w:r>
        <w:t>pressure marker</w:t>
      </w:r>
      <w:r w:rsidRPr="004742BD">
        <w:t xml:space="preserve"> based on an </w:t>
      </w:r>
      <w:proofErr w:type="spellStart"/>
      <w:r>
        <w:t>EoS</w:t>
      </w:r>
      <w:proofErr w:type="spellEnd"/>
      <w:r w:rsidRPr="004742BD">
        <w:t xml:space="preserve"> from the literature. With the exception of </w:t>
      </w:r>
      <w:r w:rsidR="00063454">
        <w:t xml:space="preserve">Bi-III, </w:t>
      </w:r>
      <w:r>
        <w:t>α</w:t>
      </w:r>
      <w:r w:rsidRPr="004742BD">
        <w:t>-</w:t>
      </w:r>
      <w:proofErr w:type="spellStart"/>
      <w:r w:rsidRPr="004742BD">
        <w:t>Ti</w:t>
      </w:r>
      <w:proofErr w:type="spellEnd"/>
      <w:r w:rsidRPr="004742BD">
        <w:t>,</w:t>
      </w:r>
      <w:r w:rsidR="00063454">
        <w:t xml:space="preserve"> and β</w:t>
      </w:r>
      <w:r w:rsidR="00063454" w:rsidRPr="004742BD">
        <w:t>-N</w:t>
      </w:r>
      <w:r w:rsidR="00063454" w:rsidRPr="004742BD">
        <w:rPr>
          <w:vertAlign w:val="subscript"/>
        </w:rPr>
        <w:t>2</w:t>
      </w:r>
      <w:r w:rsidR="00063454">
        <w:t xml:space="preserve">, </w:t>
      </w:r>
      <w:r w:rsidRPr="004742BD">
        <w:t>unit cell volumes were calculated from the position of the most intense diffraction peak</w:t>
      </w:r>
      <w:r w:rsidR="00823E64">
        <w:t>,</w:t>
      </w:r>
      <w:r w:rsidR="00823E64" w:rsidRPr="00823E64">
        <w:t xml:space="preserve"> </w:t>
      </w:r>
      <w:r w:rsidR="00823E64">
        <w:t xml:space="preserve">as other peaks were typically too weak for the peak position to be accurately determined. Although two reflections were clearly observed in Au, the unit cell volume </w:t>
      </w:r>
      <w:r w:rsidR="00B648A4">
        <w:t xml:space="preserve">was </w:t>
      </w:r>
      <w:r w:rsidR="00823E64">
        <w:t>determined from the (111)</w:t>
      </w:r>
      <w:r w:rsidR="00B648A4">
        <w:t xml:space="preserve"> reflection because it </w:t>
      </w:r>
      <w:r w:rsidR="00F61A00">
        <w:t xml:space="preserve">is </w:t>
      </w:r>
      <w:r w:rsidR="00B648A4">
        <w:t xml:space="preserve">least affected by uniaxial stress </w:t>
      </w:r>
      <w:r w:rsidR="00B648A4">
        <w:fldChar w:fldCharType="begin"/>
      </w:r>
      <w:r w:rsidR="00B648A4">
        <w:instrText xml:space="preserve"> ADDIN ZOTERO_ITEM CSL_CITATION {"citationID":"2VGFnXoB","properties":{"formattedCitation":"(Takemura &amp; Dewaele, 2008)","plainCitation":"(Takemura &amp; Dewaele, 2008)","noteIndex":0},"citationItems":[{"id":168,"uris":["http://zotero.org/users/local/dwaXvkNj/items/2DGUVWQ8"],"uri":["http://zotero.org/users/local/dwaXvkNj/items/2DGUVWQ8"],"itemData":{"id":168,"type":"article-journal","title":"Isothermal equation of state for gold with a He-pressure medium","container-title":"Physical Review B","page":"104119","volume":"78","issue":"10","source":"APS","abstract":"The isothermal equation of state (EOS) for gold has been determined by powder x-ray diffraction experiments up to 123 GPa at room temperature. We have performed experiments independently in two institutions to check the consistency of the results. A He-pressure medium was used to minimize the effect of uniaxial stress on the sample volume and ruby pressures. The stress state in the He-pressure medium gradually becomes nonhydrostatic above about 30 GPa, with the magnitude of the uniaxial stress largely depending on experiments. Since the measured lattice spacings deviate under different stress states, it is a likely cause of the disagreement of the EOS parameters found in the literature. The lattice spacing d111 for the 111 reflection is least affected by the uniaxial stress in the case of gold. Hence we have calculated the sample volume from d111 and fitted the obtained pressure-volume data to the Vinet form of EOS. The bulk modulus B0 at atmospheric pressure was fixed to 167 GPa, a value well established by ultrasonic measurements. The fit gives the pressure derivative of the bulk modulus at atmospheric pressure as B′0=5.5(1) for the current ruby pressure scale after Zha et al. [Proc. Natl. Acad. Sci. U.S.A. 97, 13494 (2000)]. Alternatively, if we use a different calibration of this standard [Phys. Rev. B 75, 024115 (2007)], we obtain B′0=5.9(1), which is in excellent agreement with the ultrasonic measurements and first-principles calculations. Discussions are given to the use of gold as a pressure standard and the hydrostaticity of the He-pressure medium.","DOI":"10.1103/PhysRevB.78.104119","journalAbbreviation":"Phys. Rev. B","author":[{"family":"Takemura","given":"K."},{"family":"Dewaele","given":"A."}],"issued":{"date-parts":[["2008",9,29]]}}}],"schema":"https://github.com/citation-style-language/schema/raw/master/csl-citation.json"} </w:instrText>
      </w:r>
      <w:r w:rsidR="00B648A4">
        <w:fldChar w:fldCharType="separate"/>
      </w:r>
      <w:r w:rsidR="00B648A4" w:rsidRPr="00B648A4">
        <w:t>(Takemura &amp; Dewaele, 2008)</w:t>
      </w:r>
      <w:r w:rsidR="00B648A4">
        <w:fldChar w:fldCharType="end"/>
      </w:r>
      <w:r w:rsidRPr="004742BD">
        <w:t>.</w:t>
      </w:r>
      <w:r>
        <w:t xml:space="preserve"> The compression rate was determined based on a linear fit to the pressure-time data in </w:t>
      </w:r>
      <w:r>
        <w:rPr>
          <w:rFonts w:eastAsiaTheme="minorEastAsia"/>
          <w:szCs w:val="22"/>
          <w:shd w:val="clear" w:color="FDFDFD" w:fill="FDFDFD"/>
        </w:rPr>
        <w:t>a selected time window</w:t>
      </w:r>
      <w:r>
        <w:t xml:space="preserve"> </w:t>
      </w:r>
      <w:r>
        <w:rPr>
          <w:rFonts w:eastAsiaTheme="minorEastAsia"/>
        </w:rPr>
        <w:t>(</w:t>
      </w:r>
      <m:oMath>
        <m:r>
          <w:rPr>
            <w:rFonts w:ascii="Cambria Math" w:eastAsiaTheme="minorEastAsia" w:hAnsi="Cambria Math"/>
            <w:szCs w:val="22"/>
            <w:shd w:val="clear" w:color="FDFDFD" w:fill="FDFDFD"/>
          </w:rPr>
          <m:t>Δt</m:t>
        </m:r>
      </m:oMath>
      <w:r>
        <w:rPr>
          <w:rFonts w:eastAsiaTheme="minorEastAsia"/>
          <w:szCs w:val="22"/>
          <w:shd w:val="clear" w:color="FDFDFD" w:fill="FDFDFD"/>
        </w:rPr>
        <w:t xml:space="preserve">) </w:t>
      </w:r>
      <w:r>
        <w:t xml:space="preserve">during which the pressure rise was approximately linear. The strain rate of the sample was calculated using </w:t>
      </w:r>
      <m:oMath>
        <m:acc>
          <m:accPr>
            <m:chr m:val="̇"/>
            <m:ctrlPr>
              <w:rPr>
                <w:rFonts w:ascii="Cambria Math" w:eastAsia="Arial" w:hAnsi="Cambria Math"/>
                <w:i/>
                <w:szCs w:val="22"/>
                <w:shd w:val="clear" w:color="FDFDFD" w:fill="FDFDFD"/>
              </w:rPr>
            </m:ctrlPr>
          </m:accPr>
          <m:e>
            <m:r>
              <w:rPr>
                <w:rFonts w:ascii="Cambria Math" w:eastAsia="Arial" w:hAnsi="Cambria Math"/>
                <w:szCs w:val="22"/>
                <w:shd w:val="clear" w:color="FDFDFD" w:fill="FDFDFD"/>
              </w:rPr>
              <m:t>ε</m:t>
            </m:r>
          </m:e>
        </m:acc>
        <m:r>
          <w:rPr>
            <w:rFonts w:ascii="Cambria Math" w:eastAsia="Arial" w:hAnsi="Cambria Math"/>
            <w:szCs w:val="22"/>
            <w:shd w:val="clear" w:color="FDFDFD" w:fill="FDFDFD"/>
          </w:rPr>
          <m:t>=(</m:t>
        </m:r>
        <m:sSub>
          <m:sSubPr>
            <m:ctrlPr>
              <w:rPr>
                <w:rFonts w:ascii="Cambria Math" w:eastAsia="Arial" w:hAnsi="Cambria Math"/>
                <w:i/>
                <w:szCs w:val="22"/>
                <w:shd w:val="clear" w:color="FDFDFD" w:fill="FDFDFD"/>
              </w:rPr>
            </m:ctrlPr>
          </m:sSubPr>
          <m:e>
            <m:r>
              <w:rPr>
                <w:rFonts w:ascii="Cambria Math" w:eastAsia="Arial" w:hAnsi="Cambria Math"/>
                <w:szCs w:val="22"/>
                <w:shd w:val="clear" w:color="FDFDFD" w:fill="FDFDFD"/>
              </w:rPr>
              <m:t>V</m:t>
            </m:r>
          </m:e>
          <m:sub>
            <m:r>
              <w:rPr>
                <w:rFonts w:ascii="Cambria Math" w:eastAsia="Arial" w:hAnsi="Cambria Math"/>
                <w:szCs w:val="22"/>
                <w:shd w:val="clear" w:color="FDFDFD" w:fill="FDFDFD"/>
              </w:rPr>
              <m:t>2</m:t>
            </m:r>
          </m:sub>
        </m:sSub>
        <m:r>
          <w:rPr>
            <w:rFonts w:ascii="Cambria Math" w:eastAsia="Arial" w:hAnsi="Cambria Math"/>
            <w:szCs w:val="22"/>
            <w:shd w:val="clear" w:color="FDFDFD" w:fill="FDFDFD"/>
          </w:rPr>
          <m:t>-</m:t>
        </m:r>
        <m:sSub>
          <m:sSubPr>
            <m:ctrlPr>
              <w:rPr>
                <w:rFonts w:ascii="Cambria Math" w:eastAsia="Arial" w:hAnsi="Cambria Math"/>
                <w:i/>
                <w:szCs w:val="22"/>
                <w:shd w:val="clear" w:color="FDFDFD" w:fill="FDFDFD"/>
              </w:rPr>
            </m:ctrlPr>
          </m:sSubPr>
          <m:e>
            <m:r>
              <w:rPr>
                <w:rFonts w:ascii="Cambria Math" w:eastAsia="Arial" w:hAnsi="Cambria Math"/>
                <w:szCs w:val="22"/>
                <w:shd w:val="clear" w:color="FDFDFD" w:fill="FDFDFD"/>
              </w:rPr>
              <m:t>V</m:t>
            </m:r>
          </m:e>
          <m:sub>
            <m:r>
              <w:rPr>
                <w:rFonts w:ascii="Cambria Math" w:eastAsia="Arial" w:hAnsi="Cambria Math"/>
                <w:szCs w:val="22"/>
                <w:shd w:val="clear" w:color="FDFDFD" w:fill="FDFDFD"/>
              </w:rPr>
              <m:t>1</m:t>
            </m:r>
          </m:sub>
        </m:sSub>
        <m:r>
          <w:rPr>
            <w:rFonts w:ascii="Cambria Math" w:eastAsia="Arial" w:hAnsi="Cambria Math"/>
            <w:szCs w:val="22"/>
            <w:shd w:val="clear" w:color="FDFDFD" w:fill="FDFDFD"/>
          </w:rPr>
          <m:t>)/(</m:t>
        </m:r>
        <m:sSub>
          <m:sSubPr>
            <m:ctrlPr>
              <w:rPr>
                <w:rFonts w:ascii="Cambria Math" w:eastAsia="Arial" w:hAnsi="Cambria Math"/>
                <w:i/>
                <w:szCs w:val="22"/>
                <w:shd w:val="clear" w:color="FDFDFD" w:fill="FDFDFD"/>
              </w:rPr>
            </m:ctrlPr>
          </m:sSubPr>
          <m:e>
            <m:r>
              <w:rPr>
                <w:rFonts w:ascii="Cambria Math" w:eastAsia="Arial" w:hAnsi="Cambria Math"/>
                <w:szCs w:val="22"/>
                <w:shd w:val="clear" w:color="FDFDFD" w:fill="FDFDFD"/>
              </w:rPr>
              <m:t>V</m:t>
            </m:r>
          </m:e>
          <m:sub>
            <m:r>
              <w:rPr>
                <w:rFonts w:ascii="Cambria Math" w:eastAsia="Arial" w:hAnsi="Cambria Math"/>
                <w:szCs w:val="22"/>
                <w:shd w:val="clear" w:color="FDFDFD" w:fill="FDFDFD"/>
              </w:rPr>
              <m:t>1</m:t>
            </m:r>
          </m:sub>
        </m:sSub>
        <m:r>
          <w:rPr>
            <w:rFonts w:ascii="Cambria Math" w:eastAsiaTheme="minorEastAsia" w:hAnsi="Cambria Math"/>
            <w:szCs w:val="22"/>
            <w:shd w:val="clear" w:color="FDFDFD" w:fill="FDFDFD"/>
          </w:rPr>
          <m:t>Δt)</m:t>
        </m:r>
      </m:oMath>
      <w:r>
        <w:rPr>
          <w:rFonts w:eastAsiaTheme="minorEastAsia"/>
          <w:szCs w:val="22"/>
          <w:shd w:val="clear" w:color="FDFDFD" w:fill="FDFDFD"/>
        </w:rPr>
        <w:t xml:space="preserve">, where </w:t>
      </w:r>
      <w:r>
        <w:t xml:space="preserve"> </w:t>
      </w:r>
      <m:oMath>
        <m:sSub>
          <m:sSubPr>
            <m:ctrlPr>
              <w:rPr>
                <w:rFonts w:ascii="Cambria Math" w:eastAsia="Arial" w:hAnsi="Cambria Math"/>
                <w:i/>
                <w:szCs w:val="22"/>
                <w:shd w:val="clear" w:color="FDFDFD" w:fill="FDFDFD"/>
              </w:rPr>
            </m:ctrlPr>
          </m:sSubPr>
          <m:e>
            <m:r>
              <w:rPr>
                <w:rFonts w:ascii="Cambria Math" w:eastAsia="Arial" w:hAnsi="Cambria Math"/>
                <w:szCs w:val="22"/>
                <w:shd w:val="clear" w:color="FDFDFD" w:fill="FDFDFD"/>
              </w:rPr>
              <m:t>V</m:t>
            </m:r>
          </m:e>
          <m:sub>
            <m:r>
              <w:rPr>
                <w:rFonts w:ascii="Cambria Math" w:eastAsia="Arial" w:hAnsi="Cambria Math"/>
                <w:szCs w:val="22"/>
                <w:shd w:val="clear" w:color="FDFDFD" w:fill="FDFDFD"/>
              </w:rPr>
              <m:t>1</m:t>
            </m:r>
          </m:sub>
        </m:sSub>
      </m:oMath>
      <w:r>
        <w:rPr>
          <w:rFonts w:eastAsiaTheme="minorEastAsia"/>
          <w:szCs w:val="22"/>
          <w:shd w:val="clear" w:color="FDFDFD" w:fill="FDFDFD"/>
        </w:rPr>
        <w:t xml:space="preserve"> and </w:t>
      </w:r>
      <w:r>
        <w:t xml:space="preserve"> </w:t>
      </w:r>
      <m:oMath>
        <m:sSub>
          <m:sSubPr>
            <m:ctrlPr>
              <w:rPr>
                <w:rFonts w:ascii="Cambria Math" w:eastAsia="Arial" w:hAnsi="Cambria Math"/>
                <w:i/>
                <w:szCs w:val="22"/>
                <w:shd w:val="clear" w:color="FDFDFD" w:fill="FDFDFD"/>
              </w:rPr>
            </m:ctrlPr>
          </m:sSubPr>
          <m:e>
            <m:r>
              <w:rPr>
                <w:rFonts w:ascii="Cambria Math" w:eastAsia="Arial" w:hAnsi="Cambria Math"/>
                <w:szCs w:val="22"/>
                <w:shd w:val="clear" w:color="FDFDFD" w:fill="FDFDFD"/>
              </w:rPr>
              <m:t>V</m:t>
            </m:r>
          </m:e>
          <m:sub>
            <m:r>
              <w:rPr>
                <w:rFonts w:ascii="Cambria Math" w:eastAsia="Arial" w:hAnsi="Cambria Math"/>
                <w:szCs w:val="22"/>
                <w:shd w:val="clear" w:color="FDFDFD" w:fill="FDFDFD"/>
              </w:rPr>
              <m:t>2</m:t>
            </m:r>
          </m:sub>
        </m:sSub>
      </m:oMath>
      <w:r>
        <w:rPr>
          <w:rFonts w:eastAsiaTheme="minorEastAsia"/>
          <w:szCs w:val="22"/>
          <w:shd w:val="clear" w:color="FDFDFD" w:fill="FDFDFD"/>
        </w:rPr>
        <w:t xml:space="preserve"> are the unit cell volumes of the sample at the start and end the same time window</w:t>
      </w:r>
      <w:r>
        <w:t xml:space="preserve"> </w:t>
      </w:r>
      <w:r>
        <w:rPr>
          <w:rFonts w:eastAsiaTheme="minorEastAsia"/>
        </w:rPr>
        <w:t>(</w:t>
      </w:r>
      <m:oMath>
        <m:r>
          <w:rPr>
            <w:rFonts w:ascii="Cambria Math" w:eastAsiaTheme="minorEastAsia" w:hAnsi="Cambria Math"/>
            <w:szCs w:val="22"/>
            <w:shd w:val="clear" w:color="FDFDFD" w:fill="FDFDFD"/>
          </w:rPr>
          <m:t>Δt</m:t>
        </m:r>
      </m:oMath>
      <w:r>
        <w:rPr>
          <w:rFonts w:eastAsiaTheme="minorEastAsia"/>
          <w:szCs w:val="22"/>
          <w:shd w:val="clear" w:color="FDFDFD" w:fill="FDFDFD"/>
        </w:rPr>
        <w:t xml:space="preserve">), respectively. </w:t>
      </w:r>
    </w:p>
    <w:p w14:paraId="63F8159D" w14:textId="031DF0CA" w:rsidR="00A20AFF" w:rsidRDefault="00A20AFF" w:rsidP="00A20AFF">
      <w:pPr>
        <w:pStyle w:val="IUCrheading1"/>
        <w:numPr>
          <w:ilvl w:val="0"/>
          <w:numId w:val="34"/>
        </w:numPr>
        <w:textAlignment w:val="auto"/>
      </w:pPr>
      <w:r>
        <w:t>Results</w:t>
      </w:r>
    </w:p>
    <w:p w14:paraId="3F621B20" w14:textId="77777777" w:rsidR="00A20AFF" w:rsidRDefault="00A20AFF" w:rsidP="00A20AFF">
      <w:pPr>
        <w:pStyle w:val="IUCrheading2"/>
        <w:numPr>
          <w:ilvl w:val="1"/>
          <w:numId w:val="34"/>
        </w:numPr>
        <w:textAlignment w:val="auto"/>
      </w:pPr>
      <w:r>
        <w:t>X-ray heating evaluation</w:t>
      </w:r>
    </w:p>
    <w:p w14:paraId="31B77477" w14:textId="6D33B5D1" w:rsidR="00A20AFF" w:rsidRPr="009B176E" w:rsidRDefault="00A20AFF" w:rsidP="00A96371">
      <w:pPr>
        <w:pStyle w:val="IUCrheading1"/>
        <w:numPr>
          <w:ilvl w:val="0"/>
          <w:numId w:val="0"/>
        </w:numPr>
        <w:rPr>
          <w:rFonts w:ascii="Times New Roman" w:hAnsi="Times New Roman"/>
          <w:b w:val="0"/>
          <w:sz w:val="22"/>
          <w:szCs w:val="22"/>
        </w:rPr>
      </w:pPr>
      <w:r w:rsidRPr="009B176E">
        <w:rPr>
          <w:rFonts w:ascii="Times New Roman" w:hAnsi="Times New Roman"/>
          <w:b w:val="0"/>
          <w:sz w:val="22"/>
          <w:szCs w:val="22"/>
        </w:rPr>
        <w:t xml:space="preserve">Accurate knowledge of the </w:t>
      </w:r>
      <w:r w:rsidRPr="007D2FDC">
        <w:rPr>
          <w:rFonts w:ascii="Times New Roman" w:hAnsi="Times New Roman"/>
          <w:b w:val="0"/>
          <w:i/>
          <w:sz w:val="22"/>
          <w:szCs w:val="22"/>
        </w:rPr>
        <w:t>P-T</w:t>
      </w:r>
      <w:r w:rsidRPr="009B176E">
        <w:rPr>
          <w:rFonts w:ascii="Times New Roman" w:hAnsi="Times New Roman"/>
          <w:b w:val="0"/>
          <w:sz w:val="22"/>
          <w:szCs w:val="22"/>
        </w:rPr>
        <w:t xml:space="preserve"> path is important in dynamic compression studies to </w:t>
      </w:r>
      <w:r w:rsidR="00A96371">
        <w:rPr>
          <w:rFonts w:ascii="Times New Roman" w:hAnsi="Times New Roman"/>
          <w:b w:val="0"/>
          <w:sz w:val="22"/>
          <w:szCs w:val="22"/>
        </w:rPr>
        <w:t xml:space="preserve">discriminate how pressure and temperature affect phase transformation </w:t>
      </w:r>
      <w:r w:rsidRPr="009B176E">
        <w:rPr>
          <w:rFonts w:ascii="Times New Roman" w:hAnsi="Times New Roman"/>
          <w:b w:val="0"/>
          <w:sz w:val="22"/>
          <w:szCs w:val="22"/>
        </w:rPr>
        <w:t>kinetic</w:t>
      </w:r>
      <w:r w:rsidR="00A96371">
        <w:rPr>
          <w:rFonts w:ascii="Times New Roman" w:hAnsi="Times New Roman"/>
          <w:b w:val="0"/>
          <w:sz w:val="22"/>
          <w:szCs w:val="22"/>
        </w:rPr>
        <w:t>s</w:t>
      </w:r>
      <w:r w:rsidRPr="009B176E">
        <w:rPr>
          <w:rFonts w:ascii="Times New Roman" w:hAnsi="Times New Roman"/>
          <w:b w:val="0"/>
          <w:sz w:val="22"/>
          <w:szCs w:val="22"/>
        </w:rPr>
        <w:t xml:space="preserve">. XFEL experiments </w:t>
      </w:r>
      <w:r w:rsidR="00A96371">
        <w:rPr>
          <w:rFonts w:ascii="Times New Roman" w:hAnsi="Times New Roman"/>
          <w:b w:val="0"/>
          <w:sz w:val="22"/>
          <w:szCs w:val="22"/>
        </w:rPr>
        <w:t>can be</w:t>
      </w:r>
      <w:r w:rsidRPr="009B176E">
        <w:rPr>
          <w:rFonts w:ascii="Times New Roman" w:hAnsi="Times New Roman"/>
          <w:b w:val="0"/>
          <w:sz w:val="22"/>
          <w:szCs w:val="22"/>
        </w:rPr>
        <w:t xml:space="preserve"> complicated </w:t>
      </w:r>
      <w:r w:rsidRPr="009B176E">
        <w:rPr>
          <w:rFonts w:ascii="Times New Roman" w:hAnsi="Times New Roman"/>
          <w:b w:val="0"/>
          <w:sz w:val="22"/>
          <w:szCs w:val="22"/>
        </w:rPr>
        <w:lastRenderedPageBreak/>
        <w:t>by X-ray heating</w:t>
      </w:r>
      <w:r w:rsidR="00A96371">
        <w:rPr>
          <w:rFonts w:ascii="Times New Roman" w:hAnsi="Times New Roman"/>
          <w:b w:val="0"/>
          <w:sz w:val="22"/>
          <w:szCs w:val="22"/>
        </w:rPr>
        <w:t xml:space="preserve"> due to the high energy density of pulses. </w:t>
      </w:r>
      <w:r w:rsidR="00A96371" w:rsidRPr="009B176E">
        <w:rPr>
          <w:rFonts w:ascii="Times New Roman" w:hAnsi="Times New Roman"/>
          <w:b w:val="0"/>
          <w:sz w:val="22"/>
          <w:szCs w:val="22"/>
        </w:rPr>
        <w:t xml:space="preserve">Unwanted </w:t>
      </w:r>
      <w:r w:rsidR="00A96371">
        <w:rPr>
          <w:rFonts w:ascii="Times New Roman" w:hAnsi="Times New Roman"/>
          <w:b w:val="0"/>
          <w:sz w:val="22"/>
          <w:szCs w:val="22"/>
        </w:rPr>
        <w:t>X-ray heating is particularly prob</w:t>
      </w:r>
      <w:r w:rsidR="00A96371" w:rsidRPr="00EF5B0A">
        <w:rPr>
          <w:rFonts w:ascii="Times New Roman" w:hAnsi="Times New Roman"/>
          <w:b w:val="0"/>
          <w:sz w:val="22"/>
          <w:szCs w:val="22"/>
        </w:rPr>
        <w:t>lematic for high</w:t>
      </w:r>
      <w:r w:rsidR="00A96371">
        <w:rPr>
          <w:rFonts w:ascii="Times New Roman" w:hAnsi="Times New Roman"/>
          <w:b w:val="0"/>
          <w:sz w:val="22"/>
          <w:szCs w:val="22"/>
        </w:rPr>
        <w:t>-</w:t>
      </w:r>
      <w:r w:rsidR="00A96371" w:rsidRPr="00EF5B0A">
        <w:rPr>
          <w:rFonts w:ascii="Times New Roman" w:hAnsi="Times New Roman"/>
          <w:b w:val="0"/>
          <w:sz w:val="22"/>
          <w:szCs w:val="22"/>
        </w:rPr>
        <w:t xml:space="preserve">Z materials, as X-ray absorption is roughly proportional to </w:t>
      </w:r>
      <w:r w:rsidR="00A96371" w:rsidRPr="00EF5B0A">
        <w:rPr>
          <w:rFonts w:ascii="Times New Roman" w:hAnsi="Times New Roman"/>
          <w:b w:val="0"/>
          <w:i/>
          <w:sz w:val="22"/>
          <w:szCs w:val="22"/>
        </w:rPr>
        <w:t>Z</w:t>
      </w:r>
      <w:r w:rsidR="00A96371" w:rsidRPr="00EF5B0A">
        <w:rPr>
          <w:rFonts w:ascii="Times New Roman" w:hAnsi="Times New Roman"/>
          <w:b w:val="0"/>
          <w:i/>
          <w:sz w:val="22"/>
          <w:szCs w:val="22"/>
          <w:vertAlign w:val="superscript"/>
        </w:rPr>
        <w:t>4</w:t>
      </w:r>
      <w:r w:rsidR="00A96371" w:rsidRPr="00EF5B0A">
        <w:rPr>
          <w:rFonts w:ascii="Times New Roman" w:hAnsi="Times New Roman"/>
          <w:b w:val="0"/>
          <w:i/>
          <w:sz w:val="22"/>
          <w:szCs w:val="22"/>
        </w:rPr>
        <w:t xml:space="preserve"> </w:t>
      </w:r>
      <w:r w:rsidR="00A96371" w:rsidRPr="00EF5B0A">
        <w:rPr>
          <w:rFonts w:ascii="Times New Roman" w:hAnsi="Times New Roman"/>
          <w:b w:val="0"/>
          <w:i/>
          <w:sz w:val="22"/>
          <w:szCs w:val="22"/>
        </w:rPr>
        <w:fldChar w:fldCharType="begin"/>
      </w:r>
      <w:r w:rsidR="00A96371" w:rsidRPr="00EF5B0A">
        <w:rPr>
          <w:rFonts w:ascii="Times New Roman" w:hAnsi="Times New Roman"/>
          <w:b w:val="0"/>
          <w:i/>
          <w:sz w:val="22"/>
          <w:szCs w:val="22"/>
        </w:rPr>
        <w:instrText xml:space="preserve"> ADDIN ZOTERO_ITEM CSL_CITATION {"citationID":"YbBKSPD7","properties":{"formattedCitation":"(Meza-Galvez {\\i{}et al.}, 2020)","plainCitation":"(Meza-Galvez et al., 2020)","noteIndex":0},"citationItems":[{"id":40,"uris":["http://zotero.org/users/local/dwaXvkNj/items/H5U8RKL2"],"uri":["http://zotero.org/users/local/dwaXvkNj/items/H5U8RKL2"],"itemData":{"id":40,"type":"article-journal","title":"Thermomechanical response of thickly tamped targets and diamond anvil cells under pulsed hard x-ray irradiation","container-title":"Journal of Applied Physics","page":"195902","volume":"127","issue":"19","source":"aip.scitation.org (Atypon)","abstract":"In the laboratory study of extreme conditions of temperature and density, the exposure of matter to high intensity radiation sources has been of central importance. Here, we interrogate the performance of multi-layered targets in experiments involving high intensity, hard x-ray irradiation, motivated by the advent of extremely high brightness hard x-ray sources, such as free electron lasers and 4th-generation synchrotron facilities. Intense hard x-ray beams can deliver significant energy in targets having thick x-ray transparent layers (tampers) around samples of interest for the study of novel states of matter and materials’ dynamics. Heated-state lifetimes in such targets can approach the microsecond level, regardless of radiation pulse duration, enabling the exploration of conditions of local thermal and thermodynamic equilibrium at extreme temperature in solid density matter. The thermal and mechanical responses of such thick layered targets following x-ray heating, including hydrodynamic relaxation and heat flow on picosecond to millisecond timescales, are modeled using radiation hydrocode simulation, finite element analysis, and thermodynamic calculations. Assessing the potential for target survival over one or more exposures and resistance to damage arising from heating and resulting mechanical stresses, this study doubles as an investigation into the performance of diamond anvil high pressure cells under high x-ray fluences. Long used in conjunction with synchrotron x-ray radiation and high power optical lasers, the strong confinement afforded by such cells suggests novel applications at emerging high intensity x-ray facilities and new routes to studying thermodynamic equilibrium states of warm, very dense matter.","DOI":"10.1063/1.5141360","ISSN":"0021-8979","journalAbbreviation":"J. Appl. Phys.","author":[{"family":"Meza-Galvez","given":"J."},{"family":"Gomez-Perez","given":"N."},{"family":"Marshall","given":"A. S."},{"family":"Coleman","given":"A. L."},{"family":"Appel","given":"K."},{"family":"Liermann","given":"H. P."},{"family":"McMahon","given":"M. I."},{"family":"Konôpková","given":"Z."},{"family":"McWilliams","given":"R. S."}],"issued":{"date-parts":[["2020",5,21]]}}}],"schema":"https://github.com/citation-style-language/schema/raw/master/csl-citation.json"} </w:instrText>
      </w:r>
      <w:r w:rsidR="00A96371" w:rsidRPr="00EF5B0A">
        <w:rPr>
          <w:rFonts w:ascii="Times New Roman" w:hAnsi="Times New Roman"/>
          <w:b w:val="0"/>
          <w:i/>
          <w:sz w:val="22"/>
          <w:szCs w:val="22"/>
        </w:rPr>
        <w:fldChar w:fldCharType="separate"/>
      </w:r>
      <w:r w:rsidR="00A96371" w:rsidRPr="00EF5B0A">
        <w:rPr>
          <w:rFonts w:ascii="Times New Roman" w:hAnsi="Times New Roman"/>
          <w:b w:val="0"/>
          <w:sz w:val="22"/>
          <w:szCs w:val="24"/>
        </w:rPr>
        <w:t xml:space="preserve">(Meza-Galvez </w:t>
      </w:r>
      <w:r w:rsidR="00A96371" w:rsidRPr="00EF5B0A">
        <w:rPr>
          <w:rFonts w:ascii="Times New Roman" w:hAnsi="Times New Roman"/>
          <w:b w:val="0"/>
          <w:i/>
          <w:iCs/>
          <w:sz w:val="22"/>
          <w:szCs w:val="24"/>
        </w:rPr>
        <w:t>et al.</w:t>
      </w:r>
      <w:r w:rsidR="00A96371" w:rsidRPr="00EF5B0A">
        <w:rPr>
          <w:rFonts w:ascii="Times New Roman" w:hAnsi="Times New Roman"/>
          <w:b w:val="0"/>
          <w:sz w:val="22"/>
          <w:szCs w:val="24"/>
        </w:rPr>
        <w:t>, 2020)</w:t>
      </w:r>
      <w:r w:rsidR="00A96371" w:rsidRPr="00EF5B0A">
        <w:rPr>
          <w:rFonts w:ascii="Times New Roman" w:hAnsi="Times New Roman"/>
          <w:b w:val="0"/>
          <w:i/>
          <w:sz w:val="22"/>
          <w:szCs w:val="22"/>
        </w:rPr>
        <w:fldChar w:fldCharType="end"/>
      </w:r>
      <w:r w:rsidR="00A96371">
        <w:rPr>
          <w:rFonts w:ascii="Times New Roman" w:hAnsi="Times New Roman"/>
          <w:b w:val="0"/>
          <w:sz w:val="22"/>
          <w:szCs w:val="22"/>
        </w:rPr>
        <w:t>,</w:t>
      </w:r>
      <w:r w:rsidRPr="009B176E">
        <w:rPr>
          <w:rFonts w:ascii="Times New Roman" w:hAnsi="Times New Roman"/>
          <w:b w:val="0"/>
          <w:sz w:val="22"/>
          <w:szCs w:val="22"/>
        </w:rPr>
        <w:t xml:space="preserve"> which can</w:t>
      </w:r>
      <w:r w:rsidR="00A96371">
        <w:rPr>
          <w:rFonts w:ascii="Times New Roman" w:hAnsi="Times New Roman"/>
          <w:b w:val="0"/>
          <w:sz w:val="22"/>
          <w:szCs w:val="22"/>
        </w:rPr>
        <w:t xml:space="preserve"> potentially</w:t>
      </w:r>
      <w:r w:rsidRPr="009B176E">
        <w:rPr>
          <w:rFonts w:ascii="Times New Roman" w:hAnsi="Times New Roman"/>
          <w:b w:val="0"/>
          <w:sz w:val="22"/>
          <w:szCs w:val="22"/>
        </w:rPr>
        <w:t xml:space="preserve"> p</w:t>
      </w:r>
      <w:r w:rsidRPr="008D0155">
        <w:rPr>
          <w:rFonts w:ascii="Times New Roman" w:hAnsi="Times New Roman"/>
          <w:b w:val="0"/>
          <w:sz w:val="22"/>
          <w:szCs w:val="22"/>
        </w:rPr>
        <w:t>roduce extreme temperatures in high</w:t>
      </w:r>
      <w:r w:rsidR="0020499E">
        <w:rPr>
          <w:rFonts w:ascii="Times New Roman" w:hAnsi="Times New Roman"/>
          <w:b w:val="0"/>
          <w:sz w:val="22"/>
          <w:szCs w:val="22"/>
        </w:rPr>
        <w:t>-</w:t>
      </w:r>
      <w:r w:rsidRPr="008D0155">
        <w:rPr>
          <w:rFonts w:ascii="Times New Roman" w:hAnsi="Times New Roman"/>
          <w:b w:val="0"/>
          <w:sz w:val="22"/>
          <w:szCs w:val="22"/>
        </w:rPr>
        <w:t>Z</w:t>
      </w:r>
      <w:r w:rsidR="00A96371">
        <w:rPr>
          <w:rFonts w:ascii="Times New Roman" w:hAnsi="Times New Roman"/>
          <w:b w:val="0"/>
          <w:sz w:val="22"/>
          <w:szCs w:val="22"/>
        </w:rPr>
        <w:t xml:space="preserve"> samples even when </w:t>
      </w:r>
      <w:r w:rsidR="00995D05">
        <w:rPr>
          <w:rFonts w:ascii="Times New Roman" w:hAnsi="Times New Roman"/>
          <w:b w:val="0"/>
          <w:sz w:val="22"/>
          <w:szCs w:val="22"/>
        </w:rPr>
        <w:t xml:space="preserve">they are </w:t>
      </w:r>
      <w:r w:rsidR="00A96371">
        <w:rPr>
          <w:rFonts w:ascii="Times New Roman" w:hAnsi="Times New Roman"/>
          <w:b w:val="0"/>
          <w:sz w:val="22"/>
          <w:szCs w:val="22"/>
        </w:rPr>
        <w:t>placed between conductive diamond anvils</w:t>
      </w:r>
      <w:r w:rsidRPr="008D0155">
        <w:rPr>
          <w:rFonts w:ascii="Times New Roman" w:hAnsi="Times New Roman"/>
          <w:b w:val="0"/>
          <w:sz w:val="22"/>
          <w:szCs w:val="22"/>
        </w:rPr>
        <w:t xml:space="preserve"> </w:t>
      </w:r>
      <w:r w:rsidRPr="008D0155">
        <w:rPr>
          <w:rFonts w:ascii="Times New Roman" w:hAnsi="Times New Roman"/>
          <w:b w:val="0"/>
          <w:sz w:val="22"/>
          <w:szCs w:val="22"/>
        </w:rPr>
        <w:fldChar w:fldCharType="begin"/>
      </w:r>
      <w:r w:rsidRPr="008D0155">
        <w:rPr>
          <w:rFonts w:ascii="Times New Roman" w:hAnsi="Times New Roman"/>
          <w:b w:val="0"/>
          <w:sz w:val="22"/>
          <w:szCs w:val="22"/>
        </w:rPr>
        <w:instrText xml:space="preserve"> ADDIN ZOTERO_ITEM CSL_CITATION {"citationID":"iXlsG2uc","properties":{"formattedCitation":"(Husband, McWilliams {\\i{}et al.}, 2021)","plainCitation":"(Husband, McWilliams et al., 2021)","noteIndex":0},"citationItems":[{"id":153,"uris":["http://zotero.org/users/local/dwaXvkNj/items/V8W47E7Z"],"uri":["http://zotero.org/users/local/dwaXvkNj/items/V8W47E7Z"],"itemData":{"id":153,"type":"article-journal","title":"X-ray free electron laser heating of water and gold at high static pressure","container-title":"Communications Materials","page":"1-9","volume":"2","issue":"1","source":"www.nature.com","abstract":"Probing of reactive materials such as H2O ices and fluids at the high pressures and temperatures of planetary interiors is limited by unwanted chemical reactions and confinement failure. Faster experiments can mitigate such issues, but the common approach of adiabatic compression limits the conditions achieved. This study demonstrates a fast experimental strategy for the creation and probing of selected extreme states using static compression coupled with ultrafast X-ray laser heating. Indirect X-ray heating of H2O through the use of a gold absorber is evidenced by sample melting inferred from textural changes in the H2O diffraction lines and inter-dispersion of gold and H2O melts. Coupled with numerical analysis of femtosecond energy absorption, thermal equilibration, and heat transfer, all evidence indicates that temperatures in excess of an electron volt have been reached in the H2O at high pressure. Even after repeated heating, samples stayed chemically unchanged from the starting material.","DOI":"10.1038/s43246-021-00158-7","ISSN":"2662-4443","journalAbbreviation":"Commun. Mater.","language":"en","author":[{"family":"Husband","given":"Rachel J."},{"family":"McWilliams","given":"R. Stewart"},{"family":"Pace","given":"Edward J."},{"family":"Coleman","given":"Amy L."},{"family":"Hwang","given":"Huijeong"},{"family":"Choi","given":"Jinhyuk"},{"family":"Kim","given":"Taehyun"},{"family":"Hwang","given":"Gil Chan"},{"family":"Ball","given":"Orianna B."},{"family":"Chun","given":"Sae Hwan"},{"family":"Nam","given":"Daewoong"},{"family":"Kim","given":"Sangsoo"},{"family":"Cynn","given":"Hyunchae"},{"family":"Prakapenka","given":"Vitali B."},{"family":"Shim","given":"Sang-Heon"},{"family":"Toleikis","given":"Sven"},{"family":"McMahon","given":"Malcolm I."},{"family":"Lee","given":"Yongjae"},{"family":"Liermann","given":"Hanns-Peter"}],"issued":{"date-parts":[["2021",6,10]]}}}],"schema":"https://github.com/citation-style-language/schema/raw/master/csl-citation.json"} </w:instrText>
      </w:r>
      <w:r w:rsidRPr="008D0155">
        <w:rPr>
          <w:rFonts w:ascii="Times New Roman" w:hAnsi="Times New Roman"/>
          <w:b w:val="0"/>
          <w:sz w:val="22"/>
          <w:szCs w:val="22"/>
        </w:rPr>
        <w:fldChar w:fldCharType="separate"/>
      </w:r>
      <w:r w:rsidRPr="008D0155">
        <w:rPr>
          <w:rFonts w:ascii="Times New Roman" w:hAnsi="Times New Roman"/>
          <w:b w:val="0"/>
          <w:sz w:val="22"/>
          <w:szCs w:val="24"/>
        </w:rPr>
        <w:t xml:space="preserve">(Husband, McWilliams </w:t>
      </w:r>
      <w:r w:rsidRPr="008D0155">
        <w:rPr>
          <w:rFonts w:ascii="Times New Roman" w:hAnsi="Times New Roman"/>
          <w:b w:val="0"/>
          <w:i/>
          <w:iCs/>
          <w:sz w:val="22"/>
          <w:szCs w:val="24"/>
        </w:rPr>
        <w:t>et al.</w:t>
      </w:r>
      <w:r w:rsidRPr="008D0155">
        <w:rPr>
          <w:rFonts w:ascii="Times New Roman" w:hAnsi="Times New Roman"/>
          <w:b w:val="0"/>
          <w:sz w:val="22"/>
          <w:szCs w:val="24"/>
        </w:rPr>
        <w:t>, 2021)</w:t>
      </w:r>
      <w:r w:rsidRPr="008D0155">
        <w:rPr>
          <w:rFonts w:ascii="Times New Roman" w:hAnsi="Times New Roman"/>
          <w:b w:val="0"/>
          <w:sz w:val="22"/>
          <w:szCs w:val="22"/>
        </w:rPr>
        <w:fldChar w:fldCharType="end"/>
      </w:r>
      <w:r w:rsidRPr="009B176E">
        <w:rPr>
          <w:rFonts w:ascii="Times New Roman" w:hAnsi="Times New Roman"/>
          <w:b w:val="0"/>
          <w:sz w:val="22"/>
          <w:szCs w:val="22"/>
        </w:rPr>
        <w:t>. Although XFEL heating c</w:t>
      </w:r>
      <w:r w:rsidR="00A96371">
        <w:rPr>
          <w:rFonts w:ascii="Times New Roman" w:hAnsi="Times New Roman"/>
          <w:b w:val="0"/>
          <w:sz w:val="22"/>
          <w:szCs w:val="22"/>
        </w:rPr>
        <w:t xml:space="preserve">ould </w:t>
      </w:r>
      <w:r w:rsidRPr="009B176E">
        <w:rPr>
          <w:rFonts w:ascii="Times New Roman" w:hAnsi="Times New Roman"/>
          <w:b w:val="0"/>
          <w:sz w:val="22"/>
          <w:szCs w:val="22"/>
        </w:rPr>
        <w:t xml:space="preserve">potentially be used to </w:t>
      </w:r>
      <w:r w:rsidR="00A96371">
        <w:rPr>
          <w:rFonts w:ascii="Times New Roman" w:hAnsi="Times New Roman"/>
          <w:b w:val="0"/>
          <w:sz w:val="22"/>
          <w:szCs w:val="22"/>
        </w:rPr>
        <w:t>perform</w:t>
      </w:r>
      <w:r w:rsidRPr="009B176E">
        <w:rPr>
          <w:rFonts w:ascii="Times New Roman" w:hAnsi="Times New Roman"/>
          <w:b w:val="0"/>
          <w:sz w:val="22"/>
          <w:szCs w:val="22"/>
        </w:rPr>
        <w:t xml:space="preserve"> </w:t>
      </w:r>
      <w:proofErr w:type="spellStart"/>
      <w:r w:rsidRPr="009B176E">
        <w:rPr>
          <w:rFonts w:ascii="Times New Roman" w:hAnsi="Times New Roman"/>
          <w:b w:val="0"/>
          <w:sz w:val="22"/>
          <w:szCs w:val="22"/>
        </w:rPr>
        <w:t>dDAC</w:t>
      </w:r>
      <w:proofErr w:type="spellEnd"/>
      <w:r w:rsidRPr="009B176E">
        <w:rPr>
          <w:rFonts w:ascii="Times New Roman" w:hAnsi="Times New Roman"/>
          <w:b w:val="0"/>
          <w:sz w:val="22"/>
          <w:szCs w:val="22"/>
        </w:rPr>
        <w:t xml:space="preserve"> studies </w:t>
      </w:r>
      <w:r w:rsidR="00A96371">
        <w:rPr>
          <w:rFonts w:ascii="Times New Roman" w:hAnsi="Times New Roman"/>
          <w:b w:val="0"/>
          <w:sz w:val="22"/>
          <w:szCs w:val="22"/>
        </w:rPr>
        <w:t>at</w:t>
      </w:r>
      <w:r w:rsidRPr="009B176E">
        <w:rPr>
          <w:rFonts w:ascii="Times New Roman" w:hAnsi="Times New Roman"/>
          <w:b w:val="0"/>
          <w:sz w:val="22"/>
          <w:szCs w:val="22"/>
        </w:rPr>
        <w:t xml:space="preserve"> high temperatures, these experiments face the challenge of independent pressure and temperature determination. Furthermore, irradiation with sequential pulses from the pulse train does not provide uniform heating, but produce</w:t>
      </w:r>
      <w:r w:rsidR="00A96371">
        <w:rPr>
          <w:rFonts w:ascii="Times New Roman" w:hAnsi="Times New Roman"/>
          <w:b w:val="0"/>
          <w:sz w:val="22"/>
          <w:szCs w:val="22"/>
        </w:rPr>
        <w:t>s temperature gradients in the irradiated (and probed) area and</w:t>
      </w:r>
      <w:r w:rsidRPr="009B176E">
        <w:rPr>
          <w:rFonts w:ascii="Times New Roman" w:hAnsi="Times New Roman"/>
          <w:b w:val="0"/>
          <w:sz w:val="22"/>
          <w:szCs w:val="22"/>
        </w:rPr>
        <w:t xml:space="preserve"> a sawtooth-type temperature-time profile</w:t>
      </w:r>
      <w:r w:rsidRPr="00EF5B0A">
        <w:rPr>
          <w:rFonts w:ascii="Times New Roman" w:hAnsi="Times New Roman"/>
          <w:b w:val="0"/>
          <w:sz w:val="22"/>
          <w:szCs w:val="22"/>
        </w:rPr>
        <w:t xml:space="preserve"> </w:t>
      </w:r>
      <w:r w:rsidRPr="00EF5B0A">
        <w:rPr>
          <w:rFonts w:ascii="Times New Roman" w:hAnsi="Times New Roman"/>
          <w:b w:val="0"/>
          <w:sz w:val="22"/>
          <w:szCs w:val="22"/>
        </w:rPr>
        <w:fldChar w:fldCharType="begin"/>
      </w:r>
      <w:r w:rsidRPr="00EF5B0A">
        <w:rPr>
          <w:rFonts w:ascii="Times New Roman" w:hAnsi="Times New Roman"/>
          <w:b w:val="0"/>
          <w:sz w:val="22"/>
          <w:szCs w:val="22"/>
        </w:rPr>
        <w:instrText xml:space="preserve"> ADDIN ZOTERO_ITEM CSL_CITATION {"citationID":"uOeC6a2c","properties":{"formattedCitation":"(Meza-Galvez {\\i{}et al.}, 2020)","plainCitation":"(Meza-Galvez et al., 2020)","noteIndex":0},"citationItems":[{"id":40,"uris":["http://zotero.org/users/local/dwaXvkNj/items/H5U8RKL2"],"uri":["http://zotero.org/users/local/dwaXvkNj/items/H5U8RKL2"],"itemData":{"id":40,"type":"article-journal","title":"Thermomechanical response of thickly tamped targets and diamond anvil cells under pulsed hard x-ray irradiation","container-title":"Journal of Applied Physics","page":"195902","volume":"127","issue":"19","source":"aip.scitation.org (Atypon)","abstract":"In the laboratory study of extreme conditions of temperature and density, the exposure of matter to high intensity radiation sources has been of central importance. Here, we interrogate the performance of multi-layered targets in experiments involving high intensity, hard x-ray irradiation, motivated by the advent of extremely high brightness hard x-ray sources, such as free electron lasers and 4th-generation synchrotron facilities. Intense hard x-ray beams can deliver significant energy in targets having thick x-ray transparent layers (tampers) around samples of interest for the study of novel states of matter and materials’ dynamics. Heated-state lifetimes in such targets can approach the microsecond level, regardless of radiation pulse duration, enabling the exploration of conditions of local thermal and thermodynamic equilibrium at extreme temperature in solid density matter. The thermal and mechanical responses of such thick layered targets following x-ray heating, including hydrodynamic relaxation and heat flow on picosecond to millisecond timescales, are modeled using radiation hydrocode simulation, finite element analysis, and thermodynamic calculations. Assessing the potential for target survival over one or more exposures and resistance to damage arising from heating and resulting mechanical stresses, this study doubles as an investigation into the performance of diamond anvil high pressure cells under high x-ray fluences. Long used in conjunction with synchrotron x-ray radiation and high power optical lasers, the strong confinement afforded by such cells suggests novel applications at emerging high intensity x-ray facilities and new routes to studying thermodynamic equilibrium states of warm, very dense matter.","DOI":"10.1063/1.5141360","ISSN":"0021-8979","journalAbbreviation":"J. Appl. Phys.","author":[{"family":"Meza-Galvez","given":"J."},{"family":"Gomez-Perez","given":"N."},{"family":"Marshall","given":"A. S."},{"family":"Coleman","given":"A. L."},{"family":"Appel","given":"K."},{"family":"Liermann","given":"H. P."},{"family":"McMahon","given":"M. I."},{"family":"Konôpková","given":"Z."},{"family":"McWilliams","given":"R. S."}],"issued":{"date-parts":[["2020",5,21]]}}}],"schema":"https://github.com/citation-style-language/schema/raw/master/csl-citation.json"} </w:instrText>
      </w:r>
      <w:r w:rsidRPr="00EF5B0A">
        <w:rPr>
          <w:rFonts w:ascii="Times New Roman" w:hAnsi="Times New Roman"/>
          <w:b w:val="0"/>
          <w:sz w:val="22"/>
          <w:szCs w:val="22"/>
        </w:rPr>
        <w:fldChar w:fldCharType="separate"/>
      </w:r>
      <w:r w:rsidRPr="00EF5B0A">
        <w:rPr>
          <w:rFonts w:ascii="Times New Roman" w:hAnsi="Times New Roman"/>
          <w:b w:val="0"/>
          <w:sz w:val="22"/>
          <w:szCs w:val="24"/>
        </w:rPr>
        <w:t xml:space="preserve">(Meza-Galvez </w:t>
      </w:r>
      <w:r w:rsidRPr="00EF5B0A">
        <w:rPr>
          <w:rFonts w:ascii="Times New Roman" w:hAnsi="Times New Roman"/>
          <w:b w:val="0"/>
          <w:i/>
          <w:iCs/>
          <w:sz w:val="22"/>
          <w:szCs w:val="24"/>
        </w:rPr>
        <w:t>et al.</w:t>
      </w:r>
      <w:r w:rsidRPr="00EF5B0A">
        <w:rPr>
          <w:rFonts w:ascii="Times New Roman" w:hAnsi="Times New Roman"/>
          <w:b w:val="0"/>
          <w:sz w:val="22"/>
          <w:szCs w:val="24"/>
        </w:rPr>
        <w:t>, 2020)</w:t>
      </w:r>
      <w:r w:rsidRPr="00EF5B0A">
        <w:rPr>
          <w:rFonts w:ascii="Times New Roman" w:hAnsi="Times New Roman"/>
          <w:b w:val="0"/>
          <w:sz w:val="22"/>
          <w:szCs w:val="22"/>
        </w:rPr>
        <w:fldChar w:fldCharType="end"/>
      </w:r>
      <w:r w:rsidRPr="00EF5B0A">
        <w:rPr>
          <w:rFonts w:ascii="Times New Roman" w:hAnsi="Times New Roman"/>
          <w:b w:val="0"/>
          <w:sz w:val="22"/>
          <w:szCs w:val="22"/>
        </w:rPr>
        <w:t xml:space="preserve">. For this reason, this work aimed to minimize heating in order to </w:t>
      </w:r>
      <w:r w:rsidRPr="009B176E">
        <w:rPr>
          <w:rFonts w:ascii="Times New Roman" w:hAnsi="Times New Roman"/>
          <w:b w:val="0"/>
          <w:sz w:val="22"/>
          <w:szCs w:val="22"/>
        </w:rPr>
        <w:t xml:space="preserve">compress samples </w:t>
      </w:r>
      <w:r w:rsidR="00A96371">
        <w:rPr>
          <w:rFonts w:ascii="Times New Roman" w:hAnsi="Times New Roman"/>
          <w:b w:val="0"/>
          <w:sz w:val="22"/>
          <w:szCs w:val="22"/>
        </w:rPr>
        <w:t>effectively isothermally</w:t>
      </w:r>
      <w:r w:rsidRPr="009B176E">
        <w:rPr>
          <w:rFonts w:ascii="Times New Roman" w:hAnsi="Times New Roman"/>
          <w:b w:val="0"/>
          <w:sz w:val="22"/>
          <w:szCs w:val="22"/>
        </w:rPr>
        <w:t xml:space="preserve"> room temperature. </w:t>
      </w:r>
    </w:p>
    <w:p w14:paraId="65FBCAE6" w14:textId="2B1A5BA7" w:rsidR="00A20AFF" w:rsidRPr="009B176E" w:rsidRDefault="00A20AFF" w:rsidP="00A96371">
      <w:pPr>
        <w:pStyle w:val="IUCrheading1"/>
        <w:numPr>
          <w:ilvl w:val="0"/>
          <w:numId w:val="0"/>
        </w:numPr>
        <w:rPr>
          <w:b w:val="0"/>
          <w:szCs w:val="22"/>
        </w:rPr>
      </w:pPr>
      <w:r w:rsidRPr="009B176E">
        <w:rPr>
          <w:rFonts w:ascii="Times New Roman" w:hAnsi="Times New Roman"/>
          <w:b w:val="0"/>
          <w:sz w:val="22"/>
          <w:szCs w:val="22"/>
        </w:rPr>
        <w:t>X-ray heating can be minimized by reducing the total pulse energy, or by using a larger X-ray focal spot size to reduce the peak fluence. Increasing the beam size has the advantage that it minimizes the loss in diffracted intensity by increasing the illuminated sample volume</w:t>
      </w:r>
      <w:r w:rsidR="00A96371">
        <w:rPr>
          <w:rFonts w:ascii="Times New Roman" w:hAnsi="Times New Roman"/>
          <w:b w:val="0"/>
          <w:sz w:val="22"/>
          <w:szCs w:val="22"/>
        </w:rPr>
        <w:t xml:space="preserve"> (to the limit of the sample size)</w:t>
      </w:r>
      <w:r w:rsidRPr="009B176E">
        <w:rPr>
          <w:rFonts w:ascii="Times New Roman" w:hAnsi="Times New Roman"/>
          <w:b w:val="0"/>
          <w:sz w:val="22"/>
          <w:szCs w:val="22"/>
        </w:rPr>
        <w:t xml:space="preserve">, </w:t>
      </w:r>
      <w:r w:rsidR="00A96371">
        <w:rPr>
          <w:rFonts w:ascii="Times New Roman" w:hAnsi="Times New Roman"/>
          <w:b w:val="0"/>
          <w:sz w:val="22"/>
          <w:szCs w:val="22"/>
        </w:rPr>
        <w:t>in contrast to higher attenuation which</w:t>
      </w:r>
      <w:r w:rsidRPr="009B176E">
        <w:rPr>
          <w:rFonts w:ascii="Times New Roman" w:hAnsi="Times New Roman"/>
          <w:b w:val="0"/>
          <w:sz w:val="22"/>
          <w:szCs w:val="22"/>
        </w:rPr>
        <w:t xml:space="preserve"> reduces the signal-to-noise ratio of the diffracted signal. A larger beam size also provides an improved powder average, which can be favourable for samples which show preferred orientation</w:t>
      </w:r>
      <w:r w:rsidR="00A96371">
        <w:rPr>
          <w:rFonts w:ascii="Times New Roman" w:hAnsi="Times New Roman"/>
          <w:b w:val="0"/>
          <w:sz w:val="22"/>
          <w:szCs w:val="22"/>
        </w:rPr>
        <w:t xml:space="preserve"> or larger crystallite sizes, especially</w:t>
      </w:r>
      <w:r w:rsidRPr="009B176E">
        <w:rPr>
          <w:rFonts w:ascii="Times New Roman" w:hAnsi="Times New Roman"/>
          <w:b w:val="0"/>
          <w:sz w:val="22"/>
          <w:szCs w:val="22"/>
        </w:rPr>
        <w:t xml:space="preserve"> due to the limited azimuthal coverage offered by the AGIPD. These experiments were therefore performed using a</w:t>
      </w:r>
      <w:r>
        <w:rPr>
          <w:rFonts w:ascii="Times New Roman" w:hAnsi="Times New Roman"/>
          <w:b w:val="0"/>
          <w:sz w:val="22"/>
          <w:szCs w:val="22"/>
        </w:rPr>
        <w:t xml:space="preserve">n X-ray focal spot size of </w:t>
      </w:r>
      <w:r w:rsidRPr="009B176E">
        <w:rPr>
          <w:rFonts w:ascii="Times New Roman" w:hAnsi="Times New Roman"/>
          <w:b w:val="0"/>
          <w:sz w:val="22"/>
          <w:szCs w:val="22"/>
        </w:rPr>
        <w:t>~50 µm FWHM</w:t>
      </w:r>
      <w:r>
        <w:rPr>
          <w:rFonts w:ascii="Times New Roman" w:hAnsi="Times New Roman"/>
          <w:b w:val="0"/>
          <w:sz w:val="22"/>
          <w:szCs w:val="22"/>
        </w:rPr>
        <w:t>,</w:t>
      </w:r>
      <w:r w:rsidRPr="009B176E">
        <w:rPr>
          <w:rFonts w:ascii="Times New Roman" w:hAnsi="Times New Roman"/>
          <w:b w:val="0"/>
          <w:sz w:val="22"/>
          <w:szCs w:val="22"/>
        </w:rPr>
        <w:t xml:space="preserve"> which was found to be a compromise between minimization of X-ray heating and parasitic diffraction and gasket heating originating from the tails of the beam. </w:t>
      </w:r>
      <w:bookmarkStart w:id="15" w:name="_Hlk127383138"/>
      <w:r>
        <w:rPr>
          <w:rFonts w:ascii="Times New Roman" w:hAnsi="Times New Roman"/>
          <w:b w:val="0"/>
          <w:sz w:val="22"/>
          <w:szCs w:val="22"/>
        </w:rPr>
        <w:t xml:space="preserve">Internal pressure standards were chosen to have a smaller X-ray absorption coefficient (longer attenuation length, λ) than the sample to avoid unwanted heating of the pressure marker. </w:t>
      </w:r>
    </w:p>
    <w:bookmarkEnd w:id="15"/>
    <w:p w14:paraId="07A3D950" w14:textId="3662B559" w:rsidR="00A20AFF" w:rsidRPr="00B614D2" w:rsidRDefault="00A20AFF" w:rsidP="00A20AFF">
      <w:pPr>
        <w:pStyle w:val="IUCrbodytext"/>
        <w:rPr>
          <w:szCs w:val="22"/>
        </w:rPr>
      </w:pPr>
      <w:r w:rsidRPr="00960251">
        <w:rPr>
          <w:szCs w:val="22"/>
        </w:rPr>
        <w:t xml:space="preserve">In order to evaluate the extent of X-ray heating to be expected during </w:t>
      </w:r>
      <w:r w:rsidRPr="00A05F1D">
        <w:rPr>
          <w:szCs w:val="22"/>
        </w:rPr>
        <w:t xml:space="preserve">the </w:t>
      </w:r>
      <w:proofErr w:type="spellStart"/>
      <w:r w:rsidRPr="00A05F1D">
        <w:rPr>
          <w:szCs w:val="22"/>
        </w:rPr>
        <w:t>dDAC</w:t>
      </w:r>
      <w:proofErr w:type="spellEnd"/>
      <w:r w:rsidRPr="00A05F1D">
        <w:rPr>
          <w:szCs w:val="22"/>
        </w:rPr>
        <w:t xml:space="preserve"> experiment, the maximum allowable X-ray fluence for data collection was evaluated</w:t>
      </w:r>
      <w:r w:rsidR="007A546D">
        <w:rPr>
          <w:szCs w:val="22"/>
        </w:rPr>
        <w:t xml:space="preserve"> for each sample</w:t>
      </w:r>
      <w:r w:rsidRPr="00A05F1D">
        <w:rPr>
          <w:szCs w:val="22"/>
        </w:rPr>
        <w:t xml:space="preserve"> prior to the actual</w:t>
      </w:r>
      <w:r w:rsidR="007A546D">
        <w:rPr>
          <w:szCs w:val="22"/>
        </w:rPr>
        <w:t xml:space="preserve"> dynamic</w:t>
      </w:r>
      <w:r w:rsidRPr="00A05F1D">
        <w:rPr>
          <w:szCs w:val="22"/>
        </w:rPr>
        <w:t xml:space="preserve"> compressio</w:t>
      </w:r>
      <w:r w:rsidR="007A546D">
        <w:rPr>
          <w:szCs w:val="22"/>
        </w:rPr>
        <w:t>n</w:t>
      </w:r>
      <w:r w:rsidRPr="00A05F1D">
        <w:rPr>
          <w:szCs w:val="22"/>
        </w:rPr>
        <w:t xml:space="preserve">. This </w:t>
      </w:r>
      <w:r>
        <w:rPr>
          <w:szCs w:val="22"/>
        </w:rPr>
        <w:t xml:space="preserve">procedure </w:t>
      </w:r>
      <w:r w:rsidRPr="00A05F1D">
        <w:rPr>
          <w:szCs w:val="22"/>
        </w:rPr>
        <w:t>is illustrated here for Au</w:t>
      </w:r>
      <w:r w:rsidR="007A546D">
        <w:rPr>
          <w:szCs w:val="22"/>
        </w:rPr>
        <w:t xml:space="preserve"> (Fig. 5)</w:t>
      </w:r>
      <w:r w:rsidRPr="00A05F1D">
        <w:rPr>
          <w:szCs w:val="22"/>
        </w:rPr>
        <w:t>, a high</w:t>
      </w:r>
      <w:r w:rsidR="0020499E">
        <w:rPr>
          <w:szCs w:val="22"/>
        </w:rPr>
        <w:t>-</w:t>
      </w:r>
      <w:r w:rsidRPr="00A05F1D">
        <w:rPr>
          <w:szCs w:val="22"/>
        </w:rPr>
        <w:t>Z element (Z=79) which is highly absorbing with λ</w:t>
      </w:r>
      <w:r>
        <w:rPr>
          <w:szCs w:val="22"/>
        </w:rPr>
        <w:t xml:space="preserve"> =</w:t>
      </w:r>
      <w:r w:rsidRPr="00A05F1D">
        <w:rPr>
          <w:szCs w:val="22"/>
        </w:rPr>
        <w:t xml:space="preserve"> 5.</w:t>
      </w:r>
      <w:r>
        <w:rPr>
          <w:szCs w:val="22"/>
        </w:rPr>
        <w:t>24</w:t>
      </w:r>
      <w:r w:rsidRPr="00A05F1D">
        <w:rPr>
          <w:szCs w:val="22"/>
        </w:rPr>
        <w:t xml:space="preserve"> µm </w:t>
      </w:r>
      <w:r w:rsidR="007A546D" w:rsidRPr="00A05F1D">
        <w:rPr>
          <w:szCs w:val="22"/>
        </w:rPr>
        <w:t>at 18.</w:t>
      </w:r>
      <w:r w:rsidR="007A546D">
        <w:rPr>
          <w:szCs w:val="22"/>
        </w:rPr>
        <w:t>105</w:t>
      </w:r>
      <w:r w:rsidR="007A546D" w:rsidRPr="00A05F1D">
        <w:rPr>
          <w:szCs w:val="22"/>
        </w:rPr>
        <w:t xml:space="preserve"> keV</w:t>
      </w:r>
      <w:r w:rsidR="007A546D" w:rsidRPr="008E04E7">
        <w:rPr>
          <w:szCs w:val="22"/>
        </w:rPr>
        <w:t xml:space="preserve"> </w:t>
      </w:r>
      <w:r w:rsidRPr="008E04E7">
        <w:rPr>
          <w:szCs w:val="22"/>
        </w:rPr>
        <w:fldChar w:fldCharType="begin"/>
      </w:r>
      <w:r w:rsidR="006722F5">
        <w:rPr>
          <w:szCs w:val="22"/>
        </w:rPr>
        <w:instrText xml:space="preserve"> ADDIN ZOTERO_ITEM CSL_CITATION {"citationID":"oHxYhaIf","properties":{"formattedCitation":"(Henke {\\i{}et al.}, 1993)","plainCitation":"(Henke et al., 1993)","noteIndex":0},"citationItems":[{"id":42,"uris":["http://zotero.org/users/local/dwaXvkNj/items/SBSD5Y24"],"uri":["http://zotero.org/users/local/dwaXvkNj/items/SBSD5Y24"],"itemData":{"id":42,"type":"article-journal","title":"X-Ray Interactions: Photoabsorption, Scattering, Transmission, and Reflection at E = 50-30,000 eV, Z = 1-92","container-title":"Atomic Data and Nuclear Data Tables","page":"181-342","volume":"54","issue":"2","source":"ScienceDirect","abstract":"The primary interactions of low-energy x-rays within condensed matter, viz. photoabsorption and coherent scattering, have been described for photon energies outside the absorption threshold regions by using atomic scattering factors. The atomic scattering factors may be accurately determined from the atomic photoabsorption cross sections using modified Kramers-Kronig dispersion relations. From a synthesis of the currently available experimental data and recent theoretical calculations for photoabsorption, the angle-independent, forward-scattering components of the atomic scattering factors have been thus semiempirically determined and tabulated here for 92 elements and for the region 50-30,000 eV. Atomic scattering factors for all angles of coherent scattering and at the higher photon energies are obtained from these tabulated forward-scattering values by adding a simple angle-dependent form-factor correction. The incoherent scattering contributions that become significant for the light elements at the higher photon energies are similarly determined. The basic x-ray interaction relations that are used in applied x-ray physics are presented here in terms of the atomic scattering factors. The bulk optical constants are also related to the atomic scattering factors. These atomic and optical relations are applied to the detailed calculation of the reflectivity characteristics of a series of practical x-ray mirror, multilayer, and crystal monochromators. Comparisons of the results of this semiempirical, \"atomic-like\" description of x-ray interactions for the low-energy region with those of experiment and ab initio theory are presented.","DOI":"10.1006/adnd.1993.1013","ISSN":"0092-640X","shortTitle":"X-Ray Interactions","journalAbbreviation":"Atomic Data and Nuclear Data Tables","language":"en","author":[{"family":"Henke","given":"B. L."},{"family":"Gullikson","given":"E. M."},{"family":"Davis","given":"J. C."}],"issued":{"date-parts":[["1993",7,1]]}}}],"schema":"https://github.com/citation-style-language/schema/raw/master/csl-citation.json"} </w:instrText>
      </w:r>
      <w:r w:rsidRPr="008E04E7">
        <w:rPr>
          <w:szCs w:val="22"/>
        </w:rPr>
        <w:fldChar w:fldCharType="separate"/>
      </w:r>
      <w:r w:rsidRPr="008E04E7">
        <w:rPr>
          <w:szCs w:val="22"/>
        </w:rPr>
        <w:t xml:space="preserve">(Henke </w:t>
      </w:r>
      <w:r w:rsidRPr="00960251">
        <w:rPr>
          <w:i/>
          <w:iCs/>
          <w:szCs w:val="22"/>
        </w:rPr>
        <w:t>et al.</w:t>
      </w:r>
      <w:r w:rsidRPr="00A05F1D">
        <w:rPr>
          <w:szCs w:val="22"/>
        </w:rPr>
        <w:t>, 1993)</w:t>
      </w:r>
      <w:r w:rsidRPr="008E04E7">
        <w:rPr>
          <w:szCs w:val="22"/>
        </w:rPr>
        <w:fldChar w:fldCharType="end"/>
      </w:r>
      <w:r w:rsidRPr="008E04E7">
        <w:rPr>
          <w:szCs w:val="22"/>
        </w:rPr>
        <w:t>. Au is of particular interest for DAC experiments because it is chemically inert</w:t>
      </w:r>
      <w:r w:rsidR="007A546D">
        <w:rPr>
          <w:szCs w:val="22"/>
        </w:rPr>
        <w:t>,</w:t>
      </w:r>
      <w:r w:rsidRPr="008E04E7">
        <w:rPr>
          <w:szCs w:val="22"/>
        </w:rPr>
        <w:t xml:space="preserve"> does not undergo any structural transitions in the pressure range accessible </w:t>
      </w:r>
      <w:r w:rsidRPr="00960251">
        <w:rPr>
          <w:szCs w:val="22"/>
        </w:rPr>
        <w:t xml:space="preserve">in </w:t>
      </w:r>
      <w:r w:rsidRPr="00A05F1D">
        <w:rPr>
          <w:szCs w:val="22"/>
        </w:rPr>
        <w:t>DAC compression experiments</w:t>
      </w:r>
      <w:r w:rsidR="007A546D">
        <w:rPr>
          <w:szCs w:val="22"/>
        </w:rPr>
        <w:t xml:space="preserve">, and has a well-calibrated thermobaric </w:t>
      </w:r>
      <w:proofErr w:type="spellStart"/>
      <w:r w:rsidR="007A546D">
        <w:rPr>
          <w:szCs w:val="22"/>
        </w:rPr>
        <w:t>EoS</w:t>
      </w:r>
      <w:proofErr w:type="spellEnd"/>
      <w:r w:rsidR="007A546D">
        <w:rPr>
          <w:szCs w:val="22"/>
        </w:rPr>
        <w:t xml:space="preserve"> in this pressure range </w:t>
      </w:r>
      <w:r w:rsidR="007A546D">
        <w:rPr>
          <w:szCs w:val="22"/>
        </w:rPr>
        <w:fldChar w:fldCharType="begin"/>
      </w:r>
      <w:r w:rsidR="007A546D">
        <w:rPr>
          <w:szCs w:val="22"/>
        </w:rPr>
        <w:instrText xml:space="preserve"> ADDIN ZOTERO_ITEM CSL_CITATION {"citationID":"LV0BumcN","properties":{"formattedCitation":"(Anderson {\\i{}et al.}, 1989)","plainCitation":"(Anderson et al., 1989)","noteIndex":0},"citationItems":[{"id":2,"uris":["http://zotero.org/users/local/dwaXvkNj/items/4V9FFDIN"],"uri":["http://zotero.org/users/local/dwaXvkNj/items/4V9FFDIN"],"itemData":{"id":2,"type":"article-journal","title":"Anharmonicity and the equation of state for gold","container-title":"Journal of Applied Physics","page":"1534-1543","volume":"65","issue":"4","source":"aip.scitation.org (Atypon)","DOI":"10.1063/1.342969","ISSN":"0021-8979","journalAbbreviation":"J. Appl. Phys.","author":[{"family":"Anderson","given":"Orson L."},{"family":"Isaak","given":"Donald G."},{"family":"Yamamoto","given":"Shigeru"}],"issued":{"date-parts":[["1989",2,15]]}}}],"schema":"https://github.com/citation-style-language/schema/raw/master/csl-citation.json"} </w:instrText>
      </w:r>
      <w:r w:rsidR="007A546D">
        <w:rPr>
          <w:szCs w:val="22"/>
        </w:rPr>
        <w:fldChar w:fldCharType="separate"/>
      </w:r>
      <w:r w:rsidR="007A546D" w:rsidRPr="007A546D">
        <w:t xml:space="preserve">(Anderson </w:t>
      </w:r>
      <w:r w:rsidR="007A546D" w:rsidRPr="007A546D">
        <w:rPr>
          <w:i/>
          <w:iCs/>
        </w:rPr>
        <w:t>et al.</w:t>
      </w:r>
      <w:r w:rsidR="007A546D" w:rsidRPr="007A546D">
        <w:t>, 1989)</w:t>
      </w:r>
      <w:r w:rsidR="007A546D">
        <w:rPr>
          <w:szCs w:val="22"/>
        </w:rPr>
        <w:fldChar w:fldCharType="end"/>
      </w:r>
      <w:r w:rsidRPr="00A05F1D">
        <w:rPr>
          <w:szCs w:val="22"/>
        </w:rPr>
        <w:t>. For this reason, it is commonly used as an internal diffraction standard for pressure determination.</w:t>
      </w:r>
      <w:r w:rsidR="007A546D">
        <w:rPr>
          <w:szCs w:val="22"/>
        </w:rPr>
        <w:t xml:space="preserve"> Due to the differing sensitivities of X-ray heating (~</w:t>
      </w:r>
      <w:r w:rsidR="007A546D" w:rsidRPr="007A546D">
        <w:rPr>
          <w:i/>
          <w:szCs w:val="22"/>
        </w:rPr>
        <w:t>Z</w:t>
      </w:r>
      <w:r w:rsidR="007A546D" w:rsidRPr="007A546D">
        <w:rPr>
          <w:i/>
          <w:szCs w:val="22"/>
          <w:vertAlign w:val="superscript"/>
        </w:rPr>
        <w:t>4</w:t>
      </w:r>
      <w:r w:rsidR="007A546D">
        <w:rPr>
          <w:szCs w:val="22"/>
        </w:rPr>
        <w:t>) and diffraction intensity (~</w:t>
      </w:r>
      <w:r w:rsidR="007A546D" w:rsidRPr="007A546D">
        <w:rPr>
          <w:i/>
          <w:szCs w:val="22"/>
        </w:rPr>
        <w:t>Z</w:t>
      </w:r>
      <w:r w:rsidR="007A546D" w:rsidRPr="007A546D">
        <w:rPr>
          <w:i/>
          <w:szCs w:val="22"/>
          <w:vertAlign w:val="superscript"/>
        </w:rPr>
        <w:t>2</w:t>
      </w:r>
      <w:r w:rsidR="007A546D">
        <w:rPr>
          <w:szCs w:val="22"/>
        </w:rPr>
        <w:t>) to sample Z, Au represents a scenario for maximum heating in these experiments.</w:t>
      </w:r>
    </w:p>
    <w:p w14:paraId="33D479ED" w14:textId="18CECF46" w:rsidR="00A20AFF" w:rsidRDefault="00A20AFF" w:rsidP="00A20AFF">
      <w:pPr>
        <w:pStyle w:val="IUCrbodytext"/>
      </w:pPr>
      <w:r w:rsidRPr="008E04E7">
        <w:rPr>
          <w:szCs w:val="22"/>
        </w:rPr>
        <w:t>The Au sample was prepared</w:t>
      </w:r>
      <w:r w:rsidRPr="004742BD">
        <w:t xml:space="preserve"> in an LLNL-type DAC equipped with standard cut diamonds with 300 µm culets</w:t>
      </w:r>
      <w:r w:rsidR="001A2EC5">
        <w:t xml:space="preserve">. </w:t>
      </w:r>
      <w:r w:rsidRPr="004742BD">
        <w:t xml:space="preserve">Discs of 5 µm thick Au foil and 3 µm thick W foil were loaded into stainless steel gasket with a 150 µm hole diameter, and Ne was used as a PTM. XRD data collected at P02.2 </w:t>
      </w:r>
      <w:r w:rsidRPr="004742BD">
        <w:lastRenderedPageBreak/>
        <w:t xml:space="preserve">indicated the initial pressure to be 0.9 </w:t>
      </w:r>
      <w:proofErr w:type="spellStart"/>
      <w:r w:rsidRPr="004742BD">
        <w:t>GPa</w:t>
      </w:r>
      <w:proofErr w:type="spellEnd"/>
      <w:r w:rsidRPr="004742BD">
        <w:t xml:space="preserve"> </w:t>
      </w:r>
      <w:r>
        <w:t xml:space="preserve">using the </w:t>
      </w:r>
      <w:proofErr w:type="spellStart"/>
      <w:r>
        <w:t>EoS</w:t>
      </w:r>
      <w:proofErr w:type="spellEnd"/>
      <w:r>
        <w:t xml:space="preserve"> of</w:t>
      </w:r>
      <w:r w:rsidRPr="004742BD">
        <w:t xml:space="preserve"> Au </w:t>
      </w:r>
      <w:r>
        <w:fldChar w:fldCharType="begin"/>
      </w:r>
      <w:r>
        <w:instrText xml:space="preserve"> ADDIN ZOTERO_ITEM CSL_CITATION {"citationID":"sh9mT6q1","properties":{"formattedCitation":"(Anderson {\\i{}et al.}, 1989)","plainCitation":"(Anderson et al., 1989)","noteIndex":0},"citationItems":[{"id":2,"uris":["http://zotero.org/users/local/dwaXvkNj/items/4V9FFDIN"],"uri":["http://zotero.org/users/local/dwaXvkNj/items/4V9FFDIN"],"itemData":{"id":2,"type":"article-journal","title":"Anharmonicity and the equation of state for gold","container-title":"Journal of Applied Physics","page":"1534-1543","volume":"65","issue":"4","source":"aip.scitation.org (Atypon)","DOI":"10.1063/1.342969","ISSN":"0021-8979","journalAbbreviation":"J. Appl. Phys.","author":[{"family":"Anderson","given":"Orson L."},{"family":"Isaak","given":"Donald G."},{"family":"Yamamoto","given":"Shigeru"}],"issued":{"date-parts":[["1989",2,15]]}}}],"schema":"https://github.com/citation-style-language/schema/raw/master/csl-citation.json"} </w:instrText>
      </w:r>
      <w:r>
        <w:fldChar w:fldCharType="separate"/>
      </w:r>
      <w:r w:rsidRPr="007C0A1E">
        <w:t xml:space="preserve">(Anderson </w:t>
      </w:r>
      <w:r w:rsidRPr="007C0A1E">
        <w:rPr>
          <w:i/>
          <w:iCs/>
        </w:rPr>
        <w:t>et al.</w:t>
      </w:r>
      <w:r w:rsidRPr="007C0A1E">
        <w:t>, 1989)</w:t>
      </w:r>
      <w:r>
        <w:fldChar w:fldCharType="end"/>
      </w:r>
      <w:r w:rsidRPr="004742BD">
        <w:t xml:space="preserve"> and 1.2 </w:t>
      </w:r>
      <w:proofErr w:type="spellStart"/>
      <w:r w:rsidRPr="004742BD">
        <w:t>GP</w:t>
      </w:r>
      <w:r>
        <w:t>a</w:t>
      </w:r>
      <w:proofErr w:type="spellEnd"/>
      <w:r>
        <w:t xml:space="preserve"> </w:t>
      </w:r>
      <w:r w:rsidRPr="004742BD">
        <w:t>using</w:t>
      </w:r>
      <w:r>
        <w:t xml:space="preserve"> </w:t>
      </w:r>
      <w:r w:rsidRPr="004742BD">
        <w:t>the</w:t>
      </w:r>
      <w:r>
        <w:t xml:space="preserve"> </w:t>
      </w:r>
      <w:proofErr w:type="spellStart"/>
      <w:r>
        <w:t>EoS</w:t>
      </w:r>
      <w:proofErr w:type="spellEnd"/>
      <w:r>
        <w:t xml:space="preserve"> of </w:t>
      </w:r>
      <w:r w:rsidRPr="004742BD">
        <w:t>W</w:t>
      </w:r>
      <w:r>
        <w:t xml:space="preserve"> (</w:t>
      </w:r>
      <w:r>
        <w:fldChar w:fldCharType="begin"/>
      </w:r>
      <w:r w:rsidR="006722F5">
        <w:instrText xml:space="preserve"> ADDIN ZOTERO_ITEM CSL_CITATION {"citationID":"PZ9TiTeM","properties":{"formattedCitation":"(Dewaele {\\i{}et al.}, 2004)","plainCitation":"(Dewaele et al., 2004)","dontUpdate":true,"noteIndex":0},"citationItems":[{"id":"k3ssTldU/lIkgUVGj","uris":["http://zotero.org/users/local/uJBp8IoE/items/L7MVXRBK"],"uri":["http://zotero.org/users/local/uJBp8IoE/items/L7MVXRBK"],"itemData":{"id":"QHeKLhhU/6kPdGRM7","type":"article-journal","abstract":"Compression versus pressure at ambient temperature has been measured for tantalum, gold, and platinum to 94GPa and for aluminum, copper, and tungsten to 153GPa, in a diamond anvil cell. Standard synchrotron x-ray diffraction accuracy in the volume determination could be achieved to the maximum pressure. The current data set is used to recalibrate the static pressure scale based on the ruby luminescence, confirming recent suggestions of an underestimation of pressure. Using an updated pressure calibration, the consistency between ultrasonic, dynamic, and static measurements of the equations of state is improved for these six equations of state. This consistency allows us to test the predictive power of density functional theory, with different approximations, for equation-of-state calculations. For example, the generalized gradient approximation leads to very accurate results, except for gold, the heaviest element.","container-title":"Physical Review B","DOI":"10.1103/PhysRevB.70.094112","issue":"9","journalAbbreviation":"Phys. Rev. B","note":"publisher: American Physical Society","page":"094112","source":"APS","title":"Equations of state of six metals above $94\\phantom{\\rule{0.3em}{0ex}}\\mathrm{GPa}$","volume":"70","author":[{"family":"Dewaele","given":"Agnès"},{"family":"Loubeyre","given":"Paul"},{"family":"Mezouar","given":"Mohamed"}],"issued":{"date-parts":[["2004",9,22]]}}}],"schema":"https://github.com/citation-style-language/schema/raw/master/csl-citation.json"} </w:instrText>
      </w:r>
      <w:r>
        <w:fldChar w:fldCharType="separate"/>
      </w:r>
      <w:r w:rsidRPr="008D3E46">
        <w:t xml:space="preserve">Dewaele </w:t>
      </w:r>
      <w:r w:rsidRPr="008D3E46">
        <w:rPr>
          <w:i/>
          <w:iCs/>
        </w:rPr>
        <w:t>et al.</w:t>
      </w:r>
      <w:r w:rsidRPr="008D3E46">
        <w:t>, 2004)</w:t>
      </w:r>
      <w:r>
        <w:fldChar w:fldCharType="end"/>
      </w:r>
      <w:r w:rsidRPr="008D3E46">
        <w:t>.</w:t>
      </w:r>
    </w:p>
    <w:p w14:paraId="795644D9" w14:textId="13097A3D" w:rsidR="00A20AFF" w:rsidRPr="0016061B" w:rsidRDefault="00A20AFF" w:rsidP="00A20AFF">
      <w:pPr>
        <w:pStyle w:val="IUCrbodytext"/>
        <w:rPr>
          <w:color w:val="FF0000"/>
        </w:rPr>
      </w:pPr>
      <w:r w:rsidRPr="004742BD">
        <w:t>A series of 216 XRD images were collected at 1.1 MHz at a given X-ray transmission (here 0.8% = 2</w:t>
      </w:r>
      <w:r>
        <w:t xml:space="preserve"> </w:t>
      </w:r>
      <w:r>
        <w:rPr>
          <w:szCs w:val="20"/>
        </w:rPr>
        <w:t xml:space="preserve">± </w:t>
      </w:r>
      <w:r>
        <w:t>1</w:t>
      </w:r>
      <w:r w:rsidRPr="004742BD">
        <w:t xml:space="preserve"> µJ) without compressing the sample to evaluate heating (Fig. 5). The starting pressure was estimated to be 3.</w:t>
      </w:r>
      <w:r>
        <w:t>3</w:t>
      </w:r>
      <w:r w:rsidRPr="004742BD">
        <w:t xml:space="preserve"> </w:t>
      </w:r>
      <w:proofErr w:type="spellStart"/>
      <w:r w:rsidRPr="004742BD">
        <w:t>GPa</w:t>
      </w:r>
      <w:proofErr w:type="spellEnd"/>
      <w:r w:rsidRPr="004742BD">
        <w:t xml:space="preserve"> from </w:t>
      </w:r>
      <w:r w:rsidR="00386FF2">
        <w:t xml:space="preserve">the </w:t>
      </w:r>
      <w:r w:rsidRPr="004742BD">
        <w:t>Au</w:t>
      </w:r>
      <w:r w:rsidR="00386FF2">
        <w:t xml:space="preserve"> </w:t>
      </w:r>
      <w:proofErr w:type="spellStart"/>
      <w:r w:rsidR="00386FF2">
        <w:t>EoS</w:t>
      </w:r>
      <w:proofErr w:type="spellEnd"/>
      <w:r w:rsidRPr="004742BD">
        <w:t>, which is below the solidification pressure of Ne</w:t>
      </w:r>
      <w:r>
        <w:t xml:space="preserve"> </w:t>
      </w:r>
      <w:r>
        <w:fldChar w:fldCharType="begin"/>
      </w:r>
      <w:r>
        <w:instrText xml:space="preserve"> ADDIN ZOTERO_ITEM CSL_CITATION {"citationID":"T8jKdekf","properties":{"formattedCitation":"(Klotz {\\i{}et al.}, 2009)","plainCitation":"(Klotz et al., 2009)","noteIndex":0},"citationItems":[{"id":163,"uris":["http://zotero.org/users/local/dwaXvkNj/items/2F8I8CUS"],"uri":["http://zotero.org/users/local/dwaXvkNj/items/2F8I8CUS"],"itemData":{"id":163,"type":"article-journal","title":"Hydrostatic limits of 11 pressure transmitting media","container-title":"Journal of Physics D: Applied Physics","page":"075413","volume":"42","issue":"7","source":"Institute of Physics","abstract":"We present a systematic and comparative study of the pressure-induced solidification of 11 frequently used pressure transmitting fluids using the ruby fluorescence technique in a diamond anvil cell. These fluids are 1 : 1 and 5 : 1 iso-n pentane, 4 : 1 deuterated methanol–ethanol, 16 : 3 : 1 deuterated methanol–ethanol-water, 1 : 1 FC84-FC87 Fluorinert, Daphne 7474, silicone oil, as well as nitrogen, neon, argon and helium. The data provide practical guidelines for the use of these fluids in high pressure experiments up to 50 GPa.","DOI":"10.1088/0022-3727/42/7/075413","ISSN":"0022-3727","journalAbbreviation":"J. Phys. D: Appl. Phys.","language":"en","author":[{"family":"Klotz","given":"S."},{"family":"Chervin","given":"J.-C."},{"family":"Munsch","given":"P."},{"family":"Marchand","given":"G. Le"}],"issued":{"date-parts":[["2009",3]]}}}],"schema":"https://github.com/citation-style-language/schema/raw/master/csl-citation.json"} </w:instrText>
      </w:r>
      <w:r>
        <w:fldChar w:fldCharType="separate"/>
      </w:r>
      <w:r w:rsidRPr="00453859">
        <w:t xml:space="preserve">(Klotz </w:t>
      </w:r>
      <w:r w:rsidRPr="00453859">
        <w:rPr>
          <w:i/>
          <w:iCs/>
        </w:rPr>
        <w:t>et al.</w:t>
      </w:r>
      <w:r w:rsidRPr="00453859">
        <w:t>, 2009)</w:t>
      </w:r>
      <w:r>
        <w:fldChar w:fldCharType="end"/>
      </w:r>
      <w:r w:rsidRPr="004742BD">
        <w:t>. The ~2 </w:t>
      </w:r>
      <w:proofErr w:type="spellStart"/>
      <w:r w:rsidRPr="004742BD">
        <w:t>GPa</w:t>
      </w:r>
      <w:proofErr w:type="spellEnd"/>
      <w:r w:rsidRPr="004742BD">
        <w:t xml:space="preserve"> pressure increase from that measured at P02.2 is most likely due to the pre-torque applied to the </w:t>
      </w:r>
      <w:r w:rsidR="00386FF2">
        <w:t>DAC</w:t>
      </w:r>
      <w:r w:rsidRPr="004742BD">
        <w:t xml:space="preserve">. The temperature increase was determined from the thermal expansion of the Au </w:t>
      </w:r>
      <w:r w:rsidRPr="00605ED3">
        <w:fldChar w:fldCharType="begin"/>
      </w:r>
      <w:r>
        <w:instrText xml:space="preserve"> ADDIN ZOTERO_ITEM CSL_CITATION {"citationID":"NN6QeaaP","properties":{"formattedCitation":"(Anderson {\\i{}et al.}, 1989)","plainCitation":"(Anderson et al., 1989)","noteIndex":0},"citationItems":[{"id":2,"uris":["http://zotero.org/users/local/dwaXvkNj/items/4V9FFDIN"],"uri":["http://zotero.org/users/local/dwaXvkNj/items/4V9FFDIN"],"itemData":{"id":2,"type":"article-journal","title":"Anharmonicity and the equation of state for gold","container-title":"Journal of Applied Physics","page":"1534-1543","volume":"65","issue":"4","source":"aip.scitation.org (Atypon)","DOI":"10.1063/1.342969","ISSN":"0021-8979","journalAbbreviation":"J. Appl. Phys.","author":[{"family":"Anderson","given":"Orson L."},{"family":"Isaak","given":"Donald G."},{"family":"Yamamoto","given":"Shigeru"}],"issued":{"date-parts":[["1989",2,15]]}}}],"schema":"https://github.com/citation-style-language/schema/raw/master/csl-citation.json"} </w:instrText>
      </w:r>
      <w:r w:rsidRPr="00605ED3">
        <w:fldChar w:fldCharType="separate"/>
      </w:r>
      <w:r w:rsidRPr="007C0A1E">
        <w:t xml:space="preserve">(Anderson </w:t>
      </w:r>
      <w:r w:rsidRPr="007C0A1E">
        <w:rPr>
          <w:i/>
          <w:iCs/>
        </w:rPr>
        <w:t>et al.</w:t>
      </w:r>
      <w:r w:rsidRPr="007C0A1E">
        <w:t>, 1989)</w:t>
      </w:r>
      <w:r w:rsidRPr="00605ED3">
        <w:fldChar w:fldCharType="end"/>
      </w:r>
      <w:r w:rsidRPr="004742BD">
        <w:t xml:space="preserve"> assuming the pressure remained constant throughout the run. If sample heating of &gt;50 K was detected, the test was successively repeated at a lower </w:t>
      </w:r>
      <w:r>
        <w:t xml:space="preserve">X-ray </w:t>
      </w:r>
      <w:r w:rsidRPr="004742BD">
        <w:t>transmission until an appropriate transmission was found (here 0.3%</w:t>
      </w:r>
      <w:r>
        <w:t xml:space="preserve">, below the detection limit of the IPM </w:t>
      </w:r>
      <w:r w:rsidR="00D21B4F">
        <w:t xml:space="preserve">of </w:t>
      </w:r>
      <w:r>
        <w:t xml:space="preserve">0.5 </w:t>
      </w:r>
      <w:r w:rsidRPr="004742BD">
        <w:t xml:space="preserve">µJ). Only then were XRD data collected during </w:t>
      </w:r>
      <w:r w:rsidRPr="006A1872">
        <w:rPr>
          <w:color w:val="000000" w:themeColor="text1"/>
        </w:rPr>
        <w:t>dynamic compression.</w:t>
      </w:r>
      <w:r w:rsidR="0003672D" w:rsidRPr="006A1872">
        <w:rPr>
          <w:color w:val="000000" w:themeColor="text1"/>
        </w:rPr>
        <w:t xml:space="preserve"> </w:t>
      </w:r>
      <w:bookmarkStart w:id="16" w:name="_Hlk132327330"/>
      <w:r w:rsidR="0016061B" w:rsidRPr="006A1872">
        <w:rPr>
          <w:color w:val="000000" w:themeColor="text1"/>
        </w:rPr>
        <w:t>In both of the examples described here (0.8 and 0.3% transmission), t</w:t>
      </w:r>
      <w:r w:rsidR="0003672D" w:rsidRPr="006A1872">
        <w:rPr>
          <w:color w:val="000000" w:themeColor="text1"/>
        </w:rPr>
        <w:t xml:space="preserve">he width of the (111) Au reflection remained constant throughout the run, suggesting </w:t>
      </w:r>
      <w:r w:rsidR="0016061B" w:rsidRPr="006A1872">
        <w:rPr>
          <w:color w:val="000000" w:themeColor="text1"/>
        </w:rPr>
        <w:t>that absence of temperature gradients within the probed sample volume.</w:t>
      </w:r>
      <w:bookmarkEnd w:id="16"/>
      <w:r w:rsidR="0016061B" w:rsidRPr="006A1872">
        <w:rPr>
          <w:color w:val="000000" w:themeColor="text1"/>
        </w:rPr>
        <w:t xml:space="preserve"> </w:t>
      </w:r>
    </w:p>
    <w:p w14:paraId="7D9C2B2B" w14:textId="451CC8CB" w:rsidR="00A20AFF" w:rsidRDefault="00A20AFF" w:rsidP="00A20AFF">
      <w:pPr>
        <w:pStyle w:val="IUCrbodytext"/>
      </w:pPr>
      <w:r>
        <w:t>The Au sample</w:t>
      </w:r>
      <w:r w:rsidRPr="004742BD">
        <w:t xml:space="preserve"> was compressed using the LLNL </w:t>
      </w:r>
      <w:proofErr w:type="spellStart"/>
      <w:r w:rsidRPr="004742BD">
        <w:t>dDAC</w:t>
      </w:r>
      <w:proofErr w:type="spellEnd"/>
      <w:r w:rsidRPr="004742BD">
        <w:t xml:space="preserve"> with a 340 µs rise time up to </w:t>
      </w:r>
      <w:r>
        <w:t>10</w:t>
      </w:r>
      <w:r w:rsidRPr="004742BD">
        <w:t>00 </w:t>
      </w:r>
      <w:r w:rsidR="007739F7">
        <w:t>V</w:t>
      </w:r>
      <w:r w:rsidRPr="004742BD">
        <w:t>.</w:t>
      </w:r>
      <w:r>
        <w:t xml:space="preserve"> </w:t>
      </w:r>
      <w:r w:rsidRPr="004742BD">
        <w:t xml:space="preserve">XRD </w:t>
      </w:r>
      <w:r w:rsidR="00213AED">
        <w:t xml:space="preserve">patterns </w:t>
      </w:r>
      <w:r w:rsidRPr="004742BD">
        <w:t>were collected</w:t>
      </w:r>
      <w:r w:rsidR="0064717E">
        <w:t xml:space="preserve"> beginning</w:t>
      </w:r>
      <w:r w:rsidRPr="004742BD">
        <w:t xml:space="preserve"> 200 µs after the start of the voltage ramp, providing data coverage during the last 140 µs of the voltage rise and ~50 µs of the plateau (Fig. 5). The pressure increase was limited to ~</w:t>
      </w:r>
      <w:r w:rsidR="00227393">
        <w:t>3</w:t>
      </w:r>
      <w:r w:rsidRPr="004742BD">
        <w:t xml:space="preserve"> </w:t>
      </w:r>
      <w:proofErr w:type="spellStart"/>
      <w:r w:rsidRPr="004742BD">
        <w:t>GPa</w:t>
      </w:r>
      <w:proofErr w:type="spellEnd"/>
      <w:r w:rsidRPr="004742BD">
        <w:t xml:space="preserve"> in the first 200 µs of the </w:t>
      </w:r>
      <w:r w:rsidR="0064717E">
        <w:t xml:space="preserve">voltage </w:t>
      </w:r>
      <w:r w:rsidRPr="004742BD">
        <w:t>ramp</w:t>
      </w:r>
      <w:r w:rsidR="00CA662C">
        <w:t xml:space="preserve"> (before the start of XRD data collection)</w:t>
      </w:r>
      <w:r w:rsidRPr="004742BD">
        <w:t xml:space="preserve">, most likely related to a number of factors: the response of the </w:t>
      </w:r>
      <w:proofErr w:type="spellStart"/>
      <w:r w:rsidRPr="004742BD">
        <w:t>dDAC</w:t>
      </w:r>
      <w:proofErr w:type="spellEnd"/>
      <w:r w:rsidRPr="004742BD">
        <w:t xml:space="preserve"> assembly; the reproducibility of the amplifier response at such short rise times; and the volume drop associated with Ne solidification. Ne lines were visible in the initial XRD patterns collected during the ramp, confirming that crystallization</w:t>
      </w:r>
      <w:r w:rsidR="00CA662C">
        <w:t xml:space="preserve"> had</w:t>
      </w:r>
      <w:r w:rsidRPr="004742BD">
        <w:t xml:space="preserve"> occurred during the first 200 µs</w:t>
      </w:r>
      <w:r>
        <w:t xml:space="preserve"> of the voltage rise</w:t>
      </w:r>
      <w:r w:rsidRPr="004742BD">
        <w:t>. The pressure increase was approximately linear across the 19</w:t>
      </w:r>
      <w:r>
        <w:t>1</w:t>
      </w:r>
      <w:r w:rsidRPr="004742BD">
        <w:t> µs X-ray window with an average compression rate of 8</w:t>
      </w:r>
      <w:r>
        <w:t>7</w:t>
      </w:r>
      <w:r w:rsidRPr="004742BD">
        <w:t xml:space="preserve"> </w:t>
      </w:r>
      <w:proofErr w:type="spellStart"/>
      <w:r w:rsidRPr="004742BD">
        <w:t>TPa</w:t>
      </w:r>
      <w:proofErr w:type="spellEnd"/>
      <w:r w:rsidRPr="004742BD">
        <w:t>/s</w:t>
      </w:r>
      <w:r>
        <w:t xml:space="preserve"> (</w:t>
      </w:r>
      <m:oMath>
        <m:acc>
          <m:accPr>
            <m:chr m:val="̇"/>
            <m:ctrlPr>
              <w:rPr>
                <w:rFonts w:ascii="Cambria Math" w:eastAsia="Arial" w:hAnsi="Cambria Math"/>
                <w:i/>
                <w:szCs w:val="22"/>
                <w:shd w:val="clear" w:color="FDFDFD" w:fill="FDFDFD"/>
              </w:rPr>
            </m:ctrlPr>
          </m:accPr>
          <m:e>
            <m:r>
              <w:rPr>
                <w:rFonts w:ascii="Cambria Math" w:eastAsia="Arial" w:hAnsi="Cambria Math"/>
                <w:szCs w:val="22"/>
                <w:shd w:val="clear" w:color="FDFDFD" w:fill="FDFDFD"/>
              </w:rPr>
              <m:t>ε</m:t>
            </m:r>
          </m:e>
        </m:acc>
      </m:oMath>
      <w:r>
        <w:rPr>
          <w:rFonts w:eastAsiaTheme="minorEastAsia"/>
          <w:szCs w:val="22"/>
          <w:shd w:val="clear" w:color="FDFDFD" w:fill="FDFDFD"/>
        </w:rPr>
        <w:t xml:space="preserve"> </w:t>
      </w:r>
      <w:r>
        <w:rPr>
          <w:color w:val="000000"/>
          <w:shd w:val="clear" w:color="auto" w:fill="FDFDFD"/>
        </w:rPr>
        <w:t>= 330 s</w:t>
      </w:r>
      <w:r w:rsidRPr="00F97054">
        <w:rPr>
          <w:color w:val="000000"/>
          <w:shd w:val="clear" w:color="auto" w:fill="FDFDFD"/>
          <w:vertAlign w:val="superscript"/>
        </w:rPr>
        <w:t>-1</w:t>
      </w:r>
      <w:r>
        <w:t>),</w:t>
      </w:r>
      <w:r w:rsidRPr="004742BD">
        <w:t xml:space="preserve"> which was the highest compression rate achieved </w:t>
      </w:r>
      <w:r>
        <w:t>in</w:t>
      </w:r>
      <w:r w:rsidRPr="004742BD">
        <w:t xml:space="preserve"> </w:t>
      </w:r>
      <w:r>
        <w:t xml:space="preserve">this set of </w:t>
      </w:r>
      <w:r w:rsidRPr="004742BD">
        <w:t>experiment</w:t>
      </w:r>
      <w:r>
        <w:t>s</w:t>
      </w:r>
      <w:r w:rsidRPr="004742BD">
        <w:t xml:space="preserve">. </w:t>
      </w:r>
      <w:r>
        <w:t xml:space="preserve">The 888 ns temporal resolution provided a pressure resolution of </w:t>
      </w:r>
      <w:r w:rsidR="00BA30E2">
        <w:t xml:space="preserve">better than </w:t>
      </w:r>
      <w:r>
        <w:t>0.1</w:t>
      </w:r>
      <w:r w:rsidR="00C14AA5">
        <w:t> </w:t>
      </w:r>
      <w:proofErr w:type="spellStart"/>
      <w:r>
        <w:t>GPa</w:t>
      </w:r>
      <w:proofErr w:type="spellEnd"/>
      <w:r>
        <w:t xml:space="preserve">/frame at this compression rate, which is more than sufficient for kinetic studies. </w:t>
      </w:r>
    </w:p>
    <w:p w14:paraId="6B311804" w14:textId="77777777" w:rsidR="00A20AFF" w:rsidRPr="004742BD" w:rsidRDefault="00A20AFF" w:rsidP="00A20AFF">
      <w:pPr>
        <w:pStyle w:val="IUCrbodytext"/>
      </w:pPr>
    </w:p>
    <w:p w14:paraId="557333FC" w14:textId="32618BDD" w:rsidR="00A20AFF" w:rsidRDefault="00B200FD" w:rsidP="00A20AFF">
      <w:pPr>
        <w:pStyle w:val="IUCrbodytext"/>
      </w:pPr>
      <w:r>
        <w:rPr>
          <w:noProof/>
        </w:rPr>
        <w:lastRenderedPageBreak/>
        <w:drawing>
          <wp:inline distT="0" distB="0" distL="0" distR="0" wp14:anchorId="633F76AC" wp14:editId="7C4D639B">
            <wp:extent cx="5731510" cy="2834640"/>
            <wp:effectExtent l="0" t="0" r="254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834640"/>
                    </a:xfrm>
                    <a:prstGeom prst="rect">
                      <a:avLst/>
                    </a:prstGeom>
                  </pic:spPr>
                </pic:pic>
              </a:graphicData>
            </a:graphic>
          </wp:inline>
        </w:drawing>
      </w:r>
    </w:p>
    <w:p w14:paraId="3F9E1EFE" w14:textId="1462F700" w:rsidR="00A20AFF" w:rsidRPr="0072108A" w:rsidRDefault="00A20AFF" w:rsidP="00A20AFF">
      <w:pPr>
        <w:pStyle w:val="IUCrfigurecaption"/>
      </w:pPr>
      <w:r>
        <w:t xml:space="preserve">(a), (d), (g) Integrated XRD data collected from a sample of Au and Ne, illustrating the experimental procedure followed during a typical </w:t>
      </w:r>
      <w:proofErr w:type="spellStart"/>
      <w:r>
        <w:t>dDAC</w:t>
      </w:r>
      <w:proofErr w:type="spellEnd"/>
      <w:r>
        <w:t xml:space="preserve"> experiment. First, a heating test is performed at a given X-ray </w:t>
      </w:r>
      <w:r w:rsidRPr="006A1872">
        <w:rPr>
          <w:color w:val="000000" w:themeColor="text1"/>
        </w:rPr>
        <w:t>transmission (here 0.</w:t>
      </w:r>
      <w:r w:rsidR="00454A46" w:rsidRPr="006A1872">
        <w:rPr>
          <w:color w:val="000000" w:themeColor="text1"/>
        </w:rPr>
        <w:t>8</w:t>
      </w:r>
      <w:r w:rsidRPr="006A1872">
        <w:rPr>
          <w:color w:val="000000" w:themeColor="text1"/>
        </w:rPr>
        <w:t xml:space="preserve">%) to assess </w:t>
      </w:r>
      <w:r>
        <w:t>the extent of X-ray heating without compressing the sample (panels (a)-(c)). If the temperature increase is too large, the heating test is repeated at a lower X-ray transmission (panels (d)-(f) at 0.3%) until the temperature rise is deemed acceptable for the experiment. Data are then collected using an appropriate X-ray transmission (here 0.3%) as the sample is compressed (panel (g)), and the pressure is determined based on the unit cell volume of the sample or pressure marker (panels (h) and (</w:t>
      </w:r>
      <w:proofErr w:type="spellStart"/>
      <w:r>
        <w:t>i</w:t>
      </w:r>
      <w:proofErr w:type="spellEnd"/>
      <w:r>
        <w:t xml:space="preserve">)). </w:t>
      </w:r>
      <w:r w:rsidR="00C14AA5">
        <w:t>Pressure and temperature are determined assuming (</w:t>
      </w:r>
      <w:proofErr w:type="spellStart"/>
      <w:r w:rsidR="00C14AA5">
        <w:t>c,f</w:t>
      </w:r>
      <w:proofErr w:type="spellEnd"/>
      <w:r w:rsidR="00C14AA5">
        <w:t>) isobaric and (</w:t>
      </w:r>
      <w:proofErr w:type="spellStart"/>
      <w:r w:rsidR="00C14AA5">
        <w:t>i</w:t>
      </w:r>
      <w:proofErr w:type="spellEnd"/>
      <w:r w:rsidR="00C14AA5">
        <w:t xml:space="preserve">) isothermal conditions using </w:t>
      </w:r>
      <w:r>
        <w:t xml:space="preserve">the </w:t>
      </w:r>
      <w:proofErr w:type="spellStart"/>
      <w:r>
        <w:t>EoS</w:t>
      </w:r>
      <w:proofErr w:type="spellEnd"/>
      <w:r>
        <w:t xml:space="preserve"> of Au </w:t>
      </w:r>
      <w:r>
        <w:fldChar w:fldCharType="begin"/>
      </w:r>
      <w:r>
        <w:instrText xml:space="preserve"> ADDIN ZOTERO_ITEM CSL_CITATION {"citationID":"CzfsquKF","properties":{"formattedCitation":"(Anderson {\\i{}et al.}, 1989)","plainCitation":"(Anderson et al., 1989)","noteIndex":0},"citationItems":[{"id":2,"uris":["http://zotero.org/users/local/dwaXvkNj/items/4V9FFDIN"],"uri":["http://zotero.org/users/local/dwaXvkNj/items/4V9FFDIN"],"itemData":{"id":2,"type":"article-journal","title":"Anharmonicity and the equation of state for gold","container-title":"Journal of Applied Physics","page":"1534-1543","volume":"65","issue":"4","source":"aip.scitation.org (Atypon)","DOI":"10.1063/1.342969","ISSN":"0021-8979","journalAbbreviation":"J. Appl. Phys.","author":[{"family":"Anderson","given":"Orson L."},{"family":"Isaak","given":"Donald G."},{"family":"Yamamoto","given":"Shigeru"}],"issued":{"date-parts":[["1989",2,15]]}}}],"schema":"https://github.com/citation-style-language/schema/raw/master/csl-citation.json"} </w:instrText>
      </w:r>
      <w:r>
        <w:fldChar w:fldCharType="separate"/>
      </w:r>
      <w:r w:rsidRPr="007C0A1E">
        <w:rPr>
          <w:szCs w:val="24"/>
        </w:rPr>
        <w:t xml:space="preserve">(Anderson </w:t>
      </w:r>
      <w:r w:rsidRPr="007C0A1E">
        <w:rPr>
          <w:i/>
          <w:iCs/>
          <w:szCs w:val="24"/>
        </w:rPr>
        <w:t>et al.</w:t>
      </w:r>
      <w:r w:rsidRPr="007C0A1E">
        <w:rPr>
          <w:szCs w:val="24"/>
        </w:rPr>
        <w:t>, 1989)</w:t>
      </w:r>
      <w:r>
        <w:fldChar w:fldCharType="end"/>
      </w:r>
      <w:r>
        <w:t>.</w:t>
      </w:r>
    </w:p>
    <w:p w14:paraId="3017C4F3" w14:textId="77777777" w:rsidR="00A20AFF" w:rsidRPr="0072108A" w:rsidRDefault="00A20AFF" w:rsidP="00A20AFF">
      <w:pPr>
        <w:pStyle w:val="IUCrheading2"/>
        <w:numPr>
          <w:ilvl w:val="1"/>
          <w:numId w:val="34"/>
        </w:numPr>
        <w:textAlignment w:val="auto"/>
      </w:pPr>
      <w:r>
        <w:t>Science case 1: Dynamic compression of Bi</w:t>
      </w:r>
    </w:p>
    <w:p w14:paraId="1AEB6D7B" w14:textId="6E97A559" w:rsidR="00A20AFF" w:rsidRDefault="00A20AFF" w:rsidP="00A20AFF">
      <w:pPr>
        <w:pStyle w:val="IUCrbodytext"/>
      </w:pPr>
      <w:r w:rsidRPr="004742BD">
        <w:t xml:space="preserve">Bi is a high-Z (83), strongly scattering material which adopts numerous high-pressure polymorphs at relatively low </w:t>
      </w:r>
      <w:r w:rsidRPr="002428B1">
        <w:rPr>
          <w:i/>
        </w:rPr>
        <w:t>P-T</w:t>
      </w:r>
      <w:r w:rsidRPr="004742BD">
        <w:t xml:space="preserve"> conditions. As such, it has been the focus of numerous laser-induced compression experiments which found significant deviations from the equilibrium phase diagram </w:t>
      </w:r>
      <w:r w:rsidRPr="004976B2">
        <w:fldChar w:fldCharType="begin"/>
      </w:r>
      <w:r w:rsidR="006722F5">
        <w:instrText xml:space="preserve"> ADDIN ZOTERO_ITEM CSL_CITATION {"citationID":"jmKIi8kB","properties":{"formattedCitation":"(Smith {\\i{}et al.}, 2008; Gorman {\\i{}et al.}, 2018; P\\uc0\\u233{}pin {\\i{}et al.}, 2019)","plainCitation":"(Smith et al., 2008; Gorman et al., 2018; Pépin et al., 2019)","noteIndex":0},"citationItems":[{"id":"k3ssTldU/GAersA3F","uris":["http://zotero.org/users/local/uJBp8IoE/items/2UGPI2MF"],"uri":["http://zotero.org/users/local/uJBp8IoE/items/2UGPI2MF"],"itemData":{"id":264,"type":"article-journal","abstract":"Preheated Bi (296–532 K) was ramp compressed with 15–35 ns rise times to a peak stress of </w:instrText>
      </w:r>
      <w:r w:rsidR="006722F5">
        <w:rPr>
          <w:rFonts w:ascii="Cambria Math" w:hAnsi="Cambria Math" w:cs="Cambria Math"/>
        </w:rPr>
        <w:instrText>∼</w:instrText>
      </w:r>
      <w:r w:rsidR="006722F5">
        <w:instrText xml:space="preserve">11 GPa to explore structural phase-transformation kinetics under dynamic loading conditions. At high strain rates, ˙ε&gt;5×106 s−1, deviation from equilibrium phase boundaries suggests that compression time scales are comparable to the new phase incubation period. The dependence of ΔP/kT on ˙ε is consistent with a thermally activated transformation.","container-title":"Physical Review Letters","DOI":"10.1103/PhysRevLett.101.065701","issue":"6","journalAbbreviation":"Phys. Rev. Lett.","note":"publisher: American Physical Society","page":"065701","source":"APS","title":"Ultrafast Dynamic Compression Technique to Study the Kinetics of Phase Transformations in Bismuth","volume":"101","author":[{"family":"Smith","given":"R. F."},{"family":"Eggert","given":"J. H."},{"family":"Saculla","given":"M. D."},{"family":"Jankowski","given":"A. F."},{"family":"Bastea","given":"M."},{"family":"Hicks","given":"D. G."},{"family":"Collins","given":"G. W."}],"issued":{"date-parts":[["2008",8,8]]}}},{"id":146,"uris":["http://zotero.org/users/local/dwaXvkNj/items/6VR3DZVP"],"uri":["http://zotero.org/users/local/dwaXvkNj/items/6VR3DZVP"],"itemData":{"id":146,"type":"article-journal","title":"Femtosecond diffraction studies of solid and liquid phase changes in shock-compressed bismuth","container-title":"Scientific Reports","page":"16927","volume":"8","issue":"1","source":"www.nature.com","abstract":"Bismuth has long been a prototypical system for investigating phase transformations and melting at high pressure. Despite decades of experimental study, however, the lattice-level response of Bi to rapid (shock) compression and the relationship between structures occurring dynamically and those observed during slow (static) compression, are still not clearly understood. We have determined the structural response of shock-compressed Bi to 68 GPa using femtosecond X-ray diffraction, thereby revealing the phase transition sequence and equation-of-state in unprecedented detail for the first time. We show that shocked-Bi exhibits a marked departure from equilibrium behavior - the incommensurate Bi-III phase is not observed, but rather a new metastable phase, and the Bi-V phase is formed at significantly lower pressures compared to static compression studies. We also directly measure structural changes in a shocked liquid for the first time. These observations reveal new behaviour in the solid and liquid phases of a shocked material and give important insights into the validity of comparing static and dynamic datasets.","DOI":"10.1038/s41598-018-35260-3","ISSN":"2045-2322","journalAbbreviation":"Sci. Rep.","language":"en","author":[{"family":"Gorman","given":"M. G."},{"family":"Coleman","given":"A. L."},{"family":"Briggs","given":"R."},{"family":"McWilliams","given":"R. S."},{"family":"McGonegle","given":"D."},{"family":"Bolme","given":"C. A."},{"family":"Gleason","given":"A. E."},{"family":"Galtier","given":"E."},{"family":"Lee","given":"H. J."},{"family":"Granados","given":"E."},{"family":"Śliwa","given":"M."},{"family":"Sanloup","given":"C."},{"family":"Rothman","given":"S."},{"family":"Fratanduono","given":"D. E."},{"family":"Smith","given":"R. F."},{"family":"Collins","given":"G. W."},{"family":"Eggert","given":"J. H."},{"family":"Wark","given":"J. S."},{"family":"McMahon","given":"M. I."}],"issued":{"date-parts":[["2018",11,16]]}}},{"id":"k3ssTldU/tQpuTgNH","uris":["http://zotero.org/users/local/uJBp8IoE/items/6ED4XNZB"],"uri":["http://zotero.org/users/local/uJBp8IoE/items/6ED4XNZB"],"itemData":{"id":269,"type":"article-journal","abstract":"Synchrotron nanosecond time-resolved x-ray diffraction has been performed on dynamically compressed bismuth along various compression and release paths, hence exploring the Bi phase diagram up to 8 GPa and 600 K. Marked departures from the static phase diagram is observed. The sequence of structural changes is different upon compression and release. The Bi-III complex host-guest structure is never obtained. Instead the Bi-V phase is observed over a large domain. Melting of Bi-V and crystallization of the fluid into Bi-I are clearly identified on stress release. Supercooling and superheating deviations to the equilibrium melting line are observed. These observations on a prototypical system underline the possible deviations between the phase diagram obtained by dynamical compression and the one under static pressure.","container-title":"Physical Review B","DOI":"10.1103/PhysRevB.100.060101","issue":"6","journalAbbreviation":"Phys. Rev. B","note":"publisher: American Physical Society","page":"060101","source":"APS","title":"Kinetics and structural changes in dynamically compressed bismuth","volume":"100","author":[{"family":"Pépin","given":"Charles M."},{"family":"Sollier","given":"Arnaud"},{"family":"Marizy","given":"Adrien"},{"family":"Occelli","given":"Florent"},{"family":"Sander","given":"Mathias"},{"family":"Torchio","given":"Raffaella"},{"family":"Loubeyre","given":"Paul"}],"issued":{"date-parts":[["2019",8,5]]}}}],"schema":"https://github.com/citation-style-language/schema/raw/master/csl-citation.json"} </w:instrText>
      </w:r>
      <w:r w:rsidRPr="004976B2">
        <w:fldChar w:fldCharType="separate"/>
      </w:r>
      <w:r w:rsidRPr="00F16F0F">
        <w:t xml:space="preserve">(Smith </w:t>
      </w:r>
      <w:r w:rsidRPr="00F16F0F">
        <w:rPr>
          <w:i/>
          <w:iCs/>
        </w:rPr>
        <w:t>et al.</w:t>
      </w:r>
      <w:r w:rsidRPr="00F16F0F">
        <w:t xml:space="preserve">, 2008; Gorman </w:t>
      </w:r>
      <w:r w:rsidRPr="00F16F0F">
        <w:rPr>
          <w:i/>
          <w:iCs/>
        </w:rPr>
        <w:t>et al.</w:t>
      </w:r>
      <w:r w:rsidRPr="00F16F0F">
        <w:t xml:space="preserve">, 2018; Pépin </w:t>
      </w:r>
      <w:r w:rsidRPr="00F16F0F">
        <w:rPr>
          <w:i/>
          <w:iCs/>
        </w:rPr>
        <w:t>et al.</w:t>
      </w:r>
      <w:r w:rsidRPr="00F16F0F">
        <w:t>, 2019)</w:t>
      </w:r>
      <w:r w:rsidRPr="004976B2">
        <w:fldChar w:fldCharType="end"/>
      </w:r>
      <w:r w:rsidRPr="004742BD">
        <w:t xml:space="preserve">. Previous </w:t>
      </w:r>
      <w:proofErr w:type="spellStart"/>
      <w:r w:rsidRPr="004742BD">
        <w:t>dDAC</w:t>
      </w:r>
      <w:proofErr w:type="spellEnd"/>
      <w:r w:rsidRPr="004742BD">
        <w:t xml:space="preserve"> studies also reported rate-dependent behaviour</w:t>
      </w:r>
      <w:r w:rsidR="00654AD7">
        <w:t xml:space="preserve"> </w:t>
      </w:r>
      <w:r w:rsidR="00654AD7">
        <w:fldChar w:fldCharType="begin"/>
      </w:r>
      <w:r w:rsidR="00654AD7">
        <w:instrText xml:space="preserve"> ADDIN ZOTERO_ITEM CSL_CITATION {"citationID":"9PydYjri","properties":{"formattedCitation":"(Yang {\\i{}et al.}, 2019; Husband, O\\uc0\\u8217{}Bannon {\\i{}et al.}, 2021)","plainCitation":"(Yang et al., 2019; Husband, O’Bannon et al., 2021)","noteIndex":0},"citationItems":[{"id":166,"uris":["http://zotero.org/users/local/dwaXvkNj/items/RJJAS9MU"],"uri":["http://zotero.org/users/local/dwaXvkNj/items/RJJAS9MU"],"itemData":{"id":166,"type":"article-journal","title":"Phase transitions in bismuth under rapid compression*","container-title":"Chinese Physics B","page":"036201","volume":"28","issue":"3","source":"Institute of Physics","abstract":"The structural phase transitions of bismuth under rapid compression has been investigated in a dynamic diamond anvil cell using time-resolved synchrotron x-ray diffraction. As the pressure increases, the transformations from phase I, to phase II, to phase III, and then to phase V have been observed under different compression rates at 300 K. Compared with static compression results, no new phase transition sequence appears under rapid compression at compression rate from 0.20 GPa/s to 183.8 GPa/s. However, during the process across the transition from phase III to phase V, the volume fraction of product phase as a function of pressure can be well fitted by a compression-rate-dependent sigmoidal curve. The resulting parameters indicate that the activation energy related to this phase transition, as well as the onset transition pressure, shows a compression-rate-dependent performance. A strong dependence of over-pressurization on compression rate occurs under rapid compression. A formula for over-pressure has been proposed, which can be used to quantify the over-pressurization.","DOI":"10.1088/1674-1056/28/3/036201","ISSN":"1674-1056","journalAbbreviation":"Chinese Phys. B","language":"en","author":[{"family":"Yang","given":"Dong-Liang"},{"family":"Liu","given":"Jing"},{"family":"Lin","given":"Chuan-Long"},{"family":"Jing","given":"Qiu-Min"},{"family":"Zhang","given":"Yi"},{"family":"Gong","given":"Yu"},{"family":"Li","given":"Yan-Chun"},{"family":"Li","given":"Xiao-Dong"}],"issued":{"date-parts":[["2019",3]]}}},{"id":121,"uris":["http://zotero.org/users/local/dwaXvkNj/items/8B3LT9HW"],"uri":["http://zotero.org/users/local/dwaXvkNj/items/8B3LT9HW"],"itemData":{"id":121,"type":"article-journal","title":"Compression-rate dependence of pressure-induced phase transitions in Bi","container-title":"Scientific Reports","page":"14859","volume":"11","issue":"1","source":"www.nature.com","abstract":"It is qualitatively well known that kinetics related to nucleation and growth can shift apparent phase boundaries from their equilibrium value. In this work, we have measured this effect in Bi using time-resolved X-ray diffraction with unprecedented 0.25 ms time resolution, accurately determining phase transition pressures at compression rates spanning five orders of magnitude (10–2–103 GPa/s) using the dynamic diamond anvil cell. An over-pressurization of the Bi-III/Bi-V phase boundary is observed at fast compression rates for different sample types and stress states, and the largest over-pressurization that is observed is ΔP = 2.5 GPa. The work presented here paves the way for future studies of transition kinetics at previously inaccessible compression rates.","DOI":"10.1038/s41598-021-94260-y","ISSN":"2045-2322","journalAbbreviation":"Sci. Rep.","language":"en","author":[{"family":"Husband","given":"Rachel J."},{"family":"O’Bannon","given":"Earl F."},{"family":"Liermann","given":"Hanns-Peter"},{"family":"Lipp","given":"Magnus J."},{"family":"Méndez","given":"Alba S. J."},{"family":"Konôpková","given":"Zuzana"},{"family":"McBride","given":"Emma E."},{"family":"Evans","given":"William J."},{"family":"Jenei","given":"Zsolt"}],"issued":{"date-parts":[["2021",7,21]]}}}],"schema":"https://github.com/citation-style-language/schema/raw/master/csl-citation.json"} </w:instrText>
      </w:r>
      <w:r w:rsidR="00654AD7">
        <w:fldChar w:fldCharType="separate"/>
      </w:r>
      <w:r w:rsidR="00654AD7" w:rsidRPr="00654AD7">
        <w:t xml:space="preserve">(Yang </w:t>
      </w:r>
      <w:r w:rsidR="00654AD7" w:rsidRPr="00654AD7">
        <w:rPr>
          <w:i/>
          <w:iCs/>
        </w:rPr>
        <w:t>et al.</w:t>
      </w:r>
      <w:r w:rsidR="00654AD7" w:rsidRPr="00654AD7">
        <w:t xml:space="preserve">, 2019; Husband, O’Bannon </w:t>
      </w:r>
      <w:r w:rsidR="00654AD7" w:rsidRPr="00654AD7">
        <w:rPr>
          <w:i/>
          <w:iCs/>
        </w:rPr>
        <w:t>et al.</w:t>
      </w:r>
      <w:r w:rsidR="00654AD7" w:rsidRPr="00654AD7">
        <w:t>, 2021)</w:t>
      </w:r>
      <w:r w:rsidR="00654AD7">
        <w:fldChar w:fldCharType="end"/>
      </w:r>
      <w:r w:rsidRPr="004742BD">
        <w:t xml:space="preserve">, where the Bi-III/B-V phase boundary was observed to shift to higher pressures by as much as 2.5 </w:t>
      </w:r>
      <w:proofErr w:type="spellStart"/>
      <w:r w:rsidRPr="004742BD">
        <w:t>GPa</w:t>
      </w:r>
      <w:proofErr w:type="spellEnd"/>
      <w:r w:rsidR="00607D71">
        <w:t xml:space="preserve"> at ~1 </w:t>
      </w:r>
      <w:proofErr w:type="spellStart"/>
      <w:r w:rsidR="00607D71">
        <w:t>TPa</w:t>
      </w:r>
      <w:proofErr w:type="spellEnd"/>
      <w:r w:rsidR="00607D71">
        <w:t>/s</w:t>
      </w:r>
      <w:r w:rsidR="00654AD7">
        <w:t xml:space="preserve"> </w:t>
      </w:r>
      <w:r w:rsidRPr="004976B2">
        <w:fldChar w:fldCharType="begin"/>
      </w:r>
      <w:r>
        <w:instrText xml:space="preserve"> ADDIN ZOTERO_ITEM CSL_CITATION {"citationID":"9YjLyOHD","properties":{"formattedCitation":"(Husband, O\\uc0\\u8217{}Bannon {\\i{}et al.}, 2021)","plainCitation":"(Husband, O’Bannon et al., 2021)","noteIndex":0},"citationItems":[{"id":121,"uris":["http://zotero.org/users/local/dwaXvkNj/items/8B3LT9HW"],"uri":["http://zotero.org/users/local/dwaXvkNj/items/8B3LT9HW"],"itemData":{"id":121,"type":"article-journal","title":"Compression-rate dependence of pressure-induced phase transitions in Bi","container-title":"Scientific Reports","page":"14859","volume":"11","issue":"1","source":"www.nature.com","abstract":"It is qualitatively well known that kinetics related to nucleation and growth can shift apparent phase boundaries from their equilibrium value. In this work, we have measured this effect in Bi using time-resolved X-ray diffraction with unprecedented 0.25 ms time resolution, accurately determining phase transition pressures at compression rates spanning five orders of magnitude (10–2–103 GPa/s) using the dynamic diamond anvil cell. An over-pressurization of the Bi-III/Bi-V phase boundary is observed at fast compression rates for different sample types and stress states, and the largest over-pressurization that is observed is ΔP = 2.5 GPa. The work presented here paves the way for future studies of transition kinetics at previously inaccessible compression rates.","DOI":"10.1038/s41598-021-94260-y","ISSN":"2045-2322","journalAbbreviation":"Sci. Rep.","language":"en","author":[{"family":"Husband","given":"Rachel J."},{"family":"O’Bannon","given":"Earl F."},{"family":"Liermann","given":"Hanns-Peter"},{"family":"Lipp","given":"Magnus J."},{"family":"Méndez","given":"Alba S. J."},{"family":"Konôpková","given":"Zuzana"},{"family":"McBride","given":"Emma E."},{"family":"Evans","given":"William J."},{"family":"Jenei","given":"Zsolt"}],"issued":{"date-parts":[["2021",7,21]]}}}],"schema":"https://github.com/citation-style-language/schema/raw/master/csl-citation.json"} </w:instrText>
      </w:r>
      <w:r w:rsidRPr="004976B2">
        <w:fldChar w:fldCharType="separate"/>
      </w:r>
      <w:r w:rsidRPr="001E360B">
        <w:t xml:space="preserve">(Husband, O’Bannon </w:t>
      </w:r>
      <w:r w:rsidRPr="001E360B">
        <w:rPr>
          <w:i/>
          <w:iCs/>
        </w:rPr>
        <w:t>et al.</w:t>
      </w:r>
      <w:r w:rsidRPr="001E360B">
        <w:t>, 2021)</w:t>
      </w:r>
      <w:r w:rsidRPr="004976B2">
        <w:fldChar w:fldCharType="end"/>
      </w:r>
      <w:r w:rsidRPr="004742BD">
        <w:t xml:space="preserve">. Studies at faster compression rates were limited both by the available flux at synchrotron radiation sources and the maximum </w:t>
      </w:r>
      <w:r w:rsidR="00A03CAA">
        <w:t xml:space="preserve">effective </w:t>
      </w:r>
      <w:r w:rsidRPr="004742BD">
        <w:t>detector frame rate (4 kHz), which prevented the accurate determination of phase transition boundaries</w:t>
      </w:r>
      <w:r w:rsidR="006C0291">
        <w:t xml:space="preserve"> </w:t>
      </w:r>
      <w:r w:rsidR="006C0291" w:rsidRPr="002918A4">
        <w:rPr>
          <w:color w:val="000000" w:themeColor="text1"/>
        </w:rPr>
        <w:t>at</w:t>
      </w:r>
      <w:r w:rsidRPr="004742BD">
        <w:t xml:space="preserve"> </w:t>
      </w:r>
      <w:r w:rsidR="00607D71">
        <w:t>faster</w:t>
      </w:r>
      <w:r w:rsidRPr="004742BD">
        <w:t xml:space="preserve"> compression rates. The time resolution of the European XFEL therefore offers the opportunity to extend these studies </w:t>
      </w:r>
      <w:r w:rsidR="002918A4">
        <w:t>under</w:t>
      </w:r>
      <w:r w:rsidRPr="004742BD">
        <w:t xml:space="preserve"> faster compression rates. </w:t>
      </w:r>
    </w:p>
    <w:p w14:paraId="54D3BAEF" w14:textId="6E7A03C8" w:rsidR="00A20AFF" w:rsidRDefault="00A20AFF" w:rsidP="00A20AFF">
      <w:pPr>
        <w:pStyle w:val="IUCrbodytext"/>
      </w:pPr>
      <w:r w:rsidRPr="004742BD">
        <w:t>The Bi sample was prepared in a LLNL-type DAC equipped with diamonds with</w:t>
      </w:r>
      <w:r>
        <w:t xml:space="preserve"> </w:t>
      </w:r>
      <w:r w:rsidRPr="004742BD">
        <w:t>300 µm culets. A ~35 µm diameter disk of 5 µm thick Bi foil w</w:t>
      </w:r>
      <w:r>
        <w:t>as</w:t>
      </w:r>
      <w:r w:rsidRPr="004742BD">
        <w:t xml:space="preserve"> loaded into a 30 µm thick, 150 µm diameter sample </w:t>
      </w:r>
      <w:r w:rsidRPr="004742BD">
        <w:lastRenderedPageBreak/>
        <w:t xml:space="preserve">chamber in a </w:t>
      </w:r>
      <w:proofErr w:type="gramStart"/>
      <w:r w:rsidRPr="004742BD">
        <w:t>stainless steel</w:t>
      </w:r>
      <w:proofErr w:type="gramEnd"/>
      <w:r w:rsidRPr="004742BD">
        <w:t xml:space="preserve"> gasket</w:t>
      </w:r>
      <w:r>
        <w:t>, and 5 µm</w:t>
      </w:r>
      <w:r w:rsidRPr="004742BD">
        <w:t xml:space="preserve"> thick Cu disk</w:t>
      </w:r>
      <w:r>
        <w:t xml:space="preserve"> was added as an internal diffraction standard.</w:t>
      </w:r>
      <w:r w:rsidRPr="00FD7224">
        <w:t xml:space="preserve"> </w:t>
      </w:r>
      <w:r>
        <w:t>The Cu disk was spatially separated from the Bi foil to avoid unwanted chemical reactions that could be induced by X-ray heating</w:t>
      </w:r>
      <w:r w:rsidRPr="004742BD">
        <w:t>. Ne was used as a PTM</w:t>
      </w:r>
      <w:r>
        <w:t>, and a</w:t>
      </w:r>
      <w:r w:rsidRPr="004742BD">
        <w:t xml:space="preserve"> small ruby sphere </w:t>
      </w:r>
      <w:r>
        <w:rPr>
          <w:rFonts w:eastAsia="Arial"/>
          <w:bCs/>
          <w:shd w:val="clear" w:color="FDFDFD" w:fill="FDFDFD"/>
        </w:rPr>
        <w:t xml:space="preserve">was added to the sample chamber for pressure determination after the loading process </w:t>
      </w:r>
      <w:r>
        <w:rPr>
          <w:rFonts w:eastAsia="Arial"/>
          <w:bCs/>
          <w:shd w:val="clear" w:color="FDFDFD" w:fill="FDFDFD"/>
        </w:rPr>
        <w:fldChar w:fldCharType="begin"/>
      </w:r>
      <w:r w:rsidR="006722F5">
        <w:rPr>
          <w:rFonts w:eastAsia="Arial"/>
          <w:bCs/>
          <w:shd w:val="clear" w:color="FDFDFD" w:fill="FDFDFD"/>
        </w:rPr>
        <w:instrText xml:space="preserve"> ADDIN ZOTERO_ITEM CSL_CITATION {"citationID":"iRMbTfX4","properties":{"formattedCitation":"(Mao {\\i{}et al.}, 1986)","plainCitation":"(Mao et al., 1986)","noteIndex":0},"citationItems":[{"id":110,"uris":["http://zotero.org/users/local/dwaXvkNj/items/IV62T8UG"],"uri":["http://zotero.org/users/local/dwaXvkNj/items/IV62T8UG"],"itemData":{"id":110,"type":"article-journal","title":"Calibration of the ruby pressure gauge to 800 kbar under quasi-hydrostatic conditions","container-title":"Journal of Geophysical Research: Solid Earth","page":"4673-4676","volume":"91","issue":"B5","source":"Wiley Online Library","abstract":"An improved calibration curve of the pressure shift of the ruby R1 emission line was obtained under quasi-hydrostatic conditions in the diamond-window, high-pressure cell to 800 kbar. Argon was the pressure-transmitting medium. Metallic copper, as a standard, was studied in situ by X ray diffraction. The reference pressure was determined by calibration against known equations of state of the copper sample and by previously obtained data on silver.","DOI":"10.1029/JB091iB05p04673","ISSN":"2156-2202","journalAbbreviation":"J. Geophys. Res. Solid Earth","language":"en","author":[{"family":"Mao","given":"H. K."},{"family":"Xu","given":"J."},{"family":"Bell","given":"P. M."}],"issued":{"date-parts":[["1986"]]}}}],"schema":"https://github.com/citation-style-language/schema/raw/master/csl-citation.json"} </w:instrText>
      </w:r>
      <w:r>
        <w:rPr>
          <w:rFonts w:eastAsia="Arial"/>
          <w:bCs/>
          <w:shd w:val="clear" w:color="FDFDFD" w:fill="FDFDFD"/>
        </w:rPr>
        <w:fldChar w:fldCharType="separate"/>
      </w:r>
      <w:r w:rsidRPr="009B176E">
        <w:t xml:space="preserve">(Mao </w:t>
      </w:r>
      <w:r w:rsidRPr="009B176E">
        <w:rPr>
          <w:i/>
          <w:iCs/>
        </w:rPr>
        <w:t>et al.</w:t>
      </w:r>
      <w:r w:rsidRPr="009B176E">
        <w:t>, 1986)</w:t>
      </w:r>
      <w:r>
        <w:rPr>
          <w:rFonts w:eastAsia="Arial"/>
          <w:bCs/>
          <w:shd w:val="clear" w:color="FDFDFD" w:fill="FDFDFD"/>
        </w:rPr>
        <w:fldChar w:fldCharType="end"/>
      </w:r>
      <w:r>
        <w:rPr>
          <w:rFonts w:eastAsia="Arial"/>
          <w:bCs/>
          <w:shd w:val="clear" w:color="FDFDFD" w:fill="FDFDFD"/>
        </w:rPr>
        <w:t>.</w:t>
      </w:r>
      <w:r>
        <w:t xml:space="preserve"> </w:t>
      </w:r>
      <w:r w:rsidRPr="004742BD">
        <w:t xml:space="preserve">XRD data collected at P02.2 determined the pressure to be 1.5 </w:t>
      </w:r>
      <w:proofErr w:type="spellStart"/>
      <w:r w:rsidRPr="004742BD">
        <w:t>GPa</w:t>
      </w:r>
      <w:proofErr w:type="spellEnd"/>
      <w:r w:rsidRPr="004742BD">
        <w:t xml:space="preserve"> based on the</w:t>
      </w:r>
      <w:r>
        <w:t xml:space="preserve"> unit cell volume of</w:t>
      </w:r>
      <w:r w:rsidRPr="004742BD">
        <w:t xml:space="preserve"> Cu</w:t>
      </w:r>
      <w:r>
        <w:t xml:space="preserve"> </w:t>
      </w:r>
      <w:r>
        <w:fldChar w:fldCharType="begin"/>
      </w:r>
      <w:r w:rsidR="006722F5">
        <w:instrText xml:space="preserve"> ADDIN ZOTERO_ITEM CSL_CITATION {"citationID":"yenvBvNy","properties":{"formattedCitation":"(Dewaele {\\i{}et al.}, 2004)","plainCitation":"(Dewaele et al., 2004)","noteIndex":0},"citationItems":[{"id":"k3ssTldU/lIkgUVGj","uris":["http://zotero.org/users/local/uJBp8IoE/items/L7MVXRBK"],"uri":["http://zotero.org/users/local/uJBp8IoE/items/L7MVXRBK"],"itemData":{"id":"pCur8H7f/IVCmU9cf","type":"article-journal","abstract":"Compression versus pressure at ambient temperature has been measured for tantalum, gold, and platinum to 94GPa and for aluminum, copper, and tungsten to 153GPa, in a diamond anvil cell. Standard synchrotron x-ray diffraction accuracy in the volume determination could be achieved to the maximum pressure. The current data set is used to recalibrate the static pressure scale based on the ruby luminescence, confirming recent suggestions of an underestimation of pressure. Using an updated pressure calibration, the consistency between ultrasonic, dynamic, and static measurements of the equations of state is improved for these six equations of state. This consistency allows us to test the predictive power of density functional theory, with different approximations, for equation-of-state calculations. For example, the generalized gradient approximation leads to very accurate results, except for gold, the heaviest element.","container-title":"Physical Review B","DOI":"10.1103/PhysRevB.70.094112","issue":"9","journalAbbreviation":"Phys. Rev. B","note":"publisher: American Physical Society","page":"094112","source":"APS","title":"Equations of state of six metals above $94\\phantom{\\rule{0.3em}{0ex}}\\mathrm{GPa}$","volume":"70","author":[{"family":"Dewaele","given":"Agnès"},{"family":"Loubeyre","given":"Paul"},{"family":"Mezouar","given":"Mohamed"}],"issued":{"date-parts":[["2004",9,22]]}}}],"schema":"https://github.com/citation-style-language/schema/raw/master/csl-citation.json"} </w:instrText>
      </w:r>
      <w:r>
        <w:fldChar w:fldCharType="separate"/>
      </w:r>
      <w:r w:rsidRPr="009B176E">
        <w:t xml:space="preserve">(Dewaele </w:t>
      </w:r>
      <w:r w:rsidRPr="009B176E">
        <w:rPr>
          <w:i/>
          <w:iCs/>
        </w:rPr>
        <w:t>et al.</w:t>
      </w:r>
      <w:r w:rsidRPr="009B176E">
        <w:t>, 2004)</w:t>
      </w:r>
      <w:r>
        <w:fldChar w:fldCharType="end"/>
      </w:r>
      <w:r w:rsidRPr="004742BD">
        <w:t>, and diffraction from the Bi foil showed the sample to be in the Bi-I phase</w:t>
      </w:r>
      <w:r>
        <w:t xml:space="preserve"> </w:t>
      </w:r>
      <w:r>
        <w:fldChar w:fldCharType="begin"/>
      </w:r>
      <w:r>
        <w:instrText xml:space="preserve"> ADDIN ZOTERO_ITEM CSL_CITATION {"citationID":"u9S4MjRu","properties":{"formattedCitation":"(Degtyareva {\\i{}et al.}, 2004)","plainCitation":"(Degtyareva et al., 2004)","noteIndex":0},"citationItems":[{"id":141,"uris":["http://zotero.org/users/local/dwaXvkNj/items/M66FT6NF"],"uri":["http://zotero.org/users/local/dwaXvkNj/items/M66FT6NF"],"itemData":{"id":141,"type":"article-journal","title":"High-pressure structural studies of group-15 elements","container-title":"High Pressure Research","page":"319-356","volume":"24","issue":"3","source":"Taylor and Francis+NEJM","abstract":"Recent advances in high-pressure experimental techniques have yielded high-quality x-ray diffraction data for the high-pressure phases of the group-15 elements Bi, Sb and As, and have made it possible to solve several long-standing problems in their structures. In particular, several complex incommensurate host–guest structures have been identified. This paper reviews the present state of knowledge of the structural transition sequences for these elements at high pressure and room temperature, including a summary of previous work, a detailed presentation of the new structures, and revised equations of state.","DOI":"10.1080/08957950412331281057","ISSN":"0895-7959","journalAbbreviation":"High Press. Res.","author":[{"family":"Degtyareva","given":"O."},{"family":"MCMahon","given":"M. I."},{"family":"Nelmes","given":"R. J."}],"issued":{"date-parts":[["2004",9,1]]}}}],"schema":"https://github.com/citation-style-language/schema/raw/master/csl-citation.json"} </w:instrText>
      </w:r>
      <w:r>
        <w:fldChar w:fldCharType="separate"/>
      </w:r>
      <w:r w:rsidRPr="007C0A1E">
        <w:t xml:space="preserve">(Degtyareva </w:t>
      </w:r>
      <w:r w:rsidRPr="007C0A1E">
        <w:rPr>
          <w:i/>
          <w:iCs/>
        </w:rPr>
        <w:t>et al.</w:t>
      </w:r>
      <w:r w:rsidRPr="007C0A1E">
        <w:t>, 2004)</w:t>
      </w:r>
      <w:r>
        <w:fldChar w:fldCharType="end"/>
      </w:r>
      <w:r w:rsidRPr="004742BD">
        <w:t xml:space="preserve">. </w:t>
      </w:r>
    </w:p>
    <w:p w14:paraId="59B745F4" w14:textId="38AF915B" w:rsidR="00A20AFF" w:rsidRPr="004742BD" w:rsidRDefault="00A20AFF" w:rsidP="00A20AFF">
      <w:pPr>
        <w:pStyle w:val="IUCrbodytext"/>
      </w:pPr>
      <w:r w:rsidRPr="004742BD">
        <w:t xml:space="preserve">A series of 216 XFEL diffraction images collected at 0.3% </w:t>
      </w:r>
      <w:r>
        <w:t xml:space="preserve">X-ray </w:t>
      </w:r>
      <w:r w:rsidRPr="004742BD">
        <w:t xml:space="preserve">transmission (0.6 </w:t>
      </w:r>
      <w:r>
        <w:rPr>
          <w:szCs w:val="20"/>
        </w:rPr>
        <w:t xml:space="preserve">± </w:t>
      </w:r>
      <w:r w:rsidRPr="004742BD">
        <w:t xml:space="preserve">0.4 µJ) prior to compression showed no evidence of heating in Cu, which determined a pressure of 4.3 </w:t>
      </w:r>
      <w:proofErr w:type="spellStart"/>
      <w:r w:rsidRPr="004742BD">
        <w:t>GPa</w:t>
      </w:r>
      <w:proofErr w:type="spellEnd"/>
      <w:r w:rsidRPr="004742BD">
        <w:t xml:space="preserve"> using the </w:t>
      </w:r>
      <w:proofErr w:type="spellStart"/>
      <w:r w:rsidRPr="004742BD">
        <w:t>EoS</w:t>
      </w:r>
      <w:proofErr w:type="spellEnd"/>
      <w:r w:rsidRPr="004742BD">
        <w:t xml:space="preserve"> from</w:t>
      </w:r>
      <w:r>
        <w:t xml:space="preserve"> </w:t>
      </w:r>
      <w:r>
        <w:fldChar w:fldCharType="begin"/>
      </w:r>
      <w:r w:rsidR="006722F5">
        <w:instrText xml:space="preserve"> ADDIN ZOTERO_ITEM CSL_CITATION {"citationID":"f30LiSRu","properties":{"formattedCitation":"(Dewaele {\\i{}et al.}, 2004)","plainCitation":"(Dewaele et al., 2004)","dontUpdate":true,"noteIndex":0},"citationItems":[{"id":"k3ssTldU/lIkgUVGj","uris":["http://zotero.org/users/local/uJBp8IoE/items/L7MVXRBK"],"uri":["http://zotero.org/users/local/uJBp8IoE/items/L7MVXRBK"],"itemData":{"id":"pCur8H7f/IVCmU9cf","type":"article-journal","abstract":"Compression versus pressure at ambient temperature has been measured for tantalum, gold, and platinum to 94GPa and for aluminum, copper, and tungsten to 153GPa, in a diamond anvil cell. Standard synchrotron x-ray diffraction accuracy in the volume determination could be achieved to the maximum pressure. The current data set is used to recalibrate the static pressure scale based on the ruby luminescence, confirming recent suggestions of an underestimation of pressure. Using an updated pressure calibration, the consistency between ultrasonic, dynamic, and static measurements of the equations of state is improved for these six equations of state. This consistency allows us to test the predictive power of density functional theory, with different approximations, for equation-of-state calculations. For example, the generalized gradient approximation leads to very accurate results, except for gold, the heaviest element.","container-title":"Physical Review B","DOI":"10.1103/PhysRevB.70.094112","issue":"9","journalAbbreviation":"Phys. Rev. B","note":"publisher: American Physical Society","page":"094112","source":"APS","title":"Equations of state of six metals above $94\\phantom{\\rule{0.3em}{0ex}}\\mathrm{GPa}$","volume":"70","author":[{"family":"Dewaele","given":"Agnès"},{"family":"Loubeyre","given":"Paul"},{"family":"Mezouar","given":"Mohamed"}],"issued":{"date-parts":[["2004",9,22]]}}}],"schema":"https://github.com/citation-style-language/schema/raw/master/csl-citation.json"} </w:instrText>
      </w:r>
      <w:r>
        <w:fldChar w:fldCharType="separate"/>
      </w:r>
      <w:r w:rsidRPr="007C0A1E">
        <w:t xml:space="preserve">Dewaele </w:t>
      </w:r>
      <w:r w:rsidRPr="007C0A1E">
        <w:rPr>
          <w:i/>
          <w:iCs/>
        </w:rPr>
        <w:t>et al.</w:t>
      </w:r>
      <w:r w:rsidRPr="007C0A1E">
        <w:t>, 2004</w:t>
      </w:r>
      <w:r>
        <w:fldChar w:fldCharType="end"/>
      </w:r>
      <w:r w:rsidRPr="004742BD">
        <w:t>. This pressure is lower than the Ne solidification pressure,</w:t>
      </w:r>
      <w:r>
        <w:t xml:space="preserve"> and</w:t>
      </w:r>
      <w:r w:rsidRPr="004742BD">
        <w:t xml:space="preserve"> in the stability field of Bi-III. Although Bi-III has a large number of diffraction lines, only two were observed due to preferred orientation of the crystal grains.</w:t>
      </w:r>
      <w:r>
        <w:t xml:space="preserve"> </w:t>
      </w:r>
      <w:r w:rsidRPr="00BE653C">
        <w:rPr>
          <w:szCs w:val="22"/>
        </w:rPr>
        <w:t xml:space="preserve">The spotty nature of the Bi-III diffraction patterns is consistent with observations in previous </w:t>
      </w:r>
      <w:proofErr w:type="spellStart"/>
      <w:r w:rsidRPr="00BE653C">
        <w:rPr>
          <w:szCs w:val="22"/>
        </w:rPr>
        <w:t>dDAC</w:t>
      </w:r>
      <w:proofErr w:type="spellEnd"/>
      <w:r w:rsidRPr="00BE653C">
        <w:rPr>
          <w:szCs w:val="22"/>
        </w:rPr>
        <w:t xml:space="preserve"> experiments on both powder and foil samples</w:t>
      </w:r>
      <w:r>
        <w:rPr>
          <w:szCs w:val="22"/>
        </w:rPr>
        <w:t xml:space="preserve"> </w:t>
      </w:r>
      <w:r>
        <w:rPr>
          <w:szCs w:val="22"/>
        </w:rPr>
        <w:fldChar w:fldCharType="begin"/>
      </w:r>
      <w:r>
        <w:rPr>
          <w:szCs w:val="22"/>
        </w:rPr>
        <w:instrText xml:space="preserve"> ADDIN ZOTERO_ITEM CSL_CITATION {"citationID":"4QOJ5XHE","properties":{"formattedCitation":"(Husband, O\\uc0\\u8217{}Bannon {\\i{}et al.}, 2021)","plainCitation":"(Husband, O’Bannon et al., 2021)","noteIndex":0},"citationItems":[{"id":121,"uris":["http://zotero.org/users/local/dwaXvkNj/items/8B3LT9HW"],"uri":["http://zotero.org/users/local/dwaXvkNj/items/8B3LT9HW"],"itemData":{"id":121,"type":"article-journal","title":"Compression-rate dependence of pressure-induced phase transitions in Bi","container-title":"Scientific Reports","page":"14859","volume":"11","issue":"1","source":"www.nature.com","abstract":"It is qualitatively well known that kinetics related to nucleation and growth can shift apparent phase boundaries from their equilibrium value. In this work, we have measured this effect in Bi using time-resolved X-ray diffraction with unprecedented 0.25 ms time resolution, accurately determining phase transition pressures at compression rates spanning five orders of magnitude (10–2–103 GPa/s) using the dynamic diamond anvil cell. An over-pressurization of the Bi-III/Bi-V phase boundary is observed at fast compression rates for different sample types and stress states, and the largest over-pressurization that is observed is ΔP = 2.5 GPa. The work presented here paves the way for future studies of transition kinetics at previously inaccessible compression rates.","DOI":"10.1038/s41598-021-94260-y","ISSN":"2045-2322","journalAbbreviation":"Sci. Rep.","language":"en","author":[{"family":"Husband","given":"Rachel J."},{"family":"O’Bannon","given":"Earl F."},{"family":"Liermann","given":"Hanns-Peter"},{"family":"Lipp","given":"Magnus J."},{"family":"Méndez","given":"Alba S. J."},{"family":"Konôpková","given":"Zuzana"},{"family":"McBride","given":"Emma E."},{"family":"Evans","given":"William J."},{"family":"Jenei","given":"Zsolt"}],"issued":{"date-parts":[["2021",7,21]]}}}],"schema":"https://github.com/citation-style-language/schema/raw/master/csl-citation.json"} </w:instrText>
      </w:r>
      <w:r>
        <w:rPr>
          <w:szCs w:val="22"/>
        </w:rPr>
        <w:fldChar w:fldCharType="separate"/>
      </w:r>
      <w:r w:rsidRPr="001E360B">
        <w:t xml:space="preserve">(Husband, O’Bannon </w:t>
      </w:r>
      <w:r w:rsidRPr="001E360B">
        <w:rPr>
          <w:i/>
          <w:iCs/>
        </w:rPr>
        <w:t>et al.</w:t>
      </w:r>
      <w:r w:rsidRPr="001E360B">
        <w:t>, 2021)</w:t>
      </w:r>
      <w:r>
        <w:rPr>
          <w:szCs w:val="22"/>
        </w:rPr>
        <w:fldChar w:fldCharType="end"/>
      </w:r>
      <w:r w:rsidRPr="00BE653C">
        <w:rPr>
          <w:szCs w:val="22"/>
        </w:rPr>
        <w:t xml:space="preserve">. </w:t>
      </w:r>
      <w:r w:rsidRPr="004742BD">
        <w:t xml:space="preserve"> Slight heating of Bi was observed in the first ~25 µs, with the Bi-III host lattice expanding by ~0.4%. </w:t>
      </w:r>
      <w:bookmarkStart w:id="17" w:name="_Hlk127451907"/>
      <w:r>
        <w:t>The azimuthal intensity distribution of the Bi-III diffraction spots was observed to remain constant across all XRD images, ruling out the possibility that the sample had melted and recrystallized after probing and subsequent thermalization in the 888 ns between consecutive XFEL pulses.</w:t>
      </w:r>
      <w:bookmarkEnd w:id="17"/>
    </w:p>
    <w:p w14:paraId="67038764" w14:textId="17664833" w:rsidR="00A20AFF" w:rsidRPr="004742BD" w:rsidRDefault="00A20AFF" w:rsidP="00A20AFF">
      <w:pPr>
        <w:pStyle w:val="IUCrbodytext"/>
      </w:pPr>
      <w:r w:rsidRPr="004742BD">
        <w:t xml:space="preserve">Bi was compressed using the LLNL </w:t>
      </w:r>
      <w:proofErr w:type="spellStart"/>
      <w:r w:rsidRPr="004742BD">
        <w:t>dDAC</w:t>
      </w:r>
      <w:proofErr w:type="spellEnd"/>
      <w:r w:rsidRPr="004742BD">
        <w:t xml:space="preserve"> with a 340 µs rise time up to 600 V. The Bi-III/Bi-V phase transition was clearly observed in XRD data collected using 0.3% </w:t>
      </w:r>
      <w:r>
        <w:t xml:space="preserve">X-ray </w:t>
      </w:r>
      <w:r w:rsidRPr="004742BD">
        <w:t xml:space="preserve">transmission </w:t>
      </w:r>
      <w:r>
        <w:t>(</w:t>
      </w:r>
      <w:r>
        <w:rPr>
          <w:szCs w:val="20"/>
        </w:rPr>
        <w:t>0.2 ± 0.4 µJ)</w:t>
      </w:r>
      <w:r w:rsidRPr="004742BD">
        <w:t xml:space="preserve"> (Fig. </w:t>
      </w:r>
      <w:r>
        <w:t>6</w:t>
      </w:r>
      <w:r w:rsidRPr="004742BD">
        <w:t xml:space="preserve">), where data collection started 100 µs after the start of the voltage waveform. The sample pressure was unchanged at the start of data collection, indicating a ~100 µs </w:t>
      </w:r>
      <w:r w:rsidR="00530B91">
        <w:t xml:space="preserve">pressure </w:t>
      </w:r>
      <w:r w:rsidRPr="004742BD">
        <w:t xml:space="preserve">response time for the </w:t>
      </w:r>
      <w:proofErr w:type="spellStart"/>
      <w:r w:rsidRPr="004742BD">
        <w:t>dDAC</w:t>
      </w:r>
      <w:proofErr w:type="spellEnd"/>
      <w:r w:rsidRPr="004742BD">
        <w:t xml:space="preserve"> assembly. This slow response may be related to the solidification of Ne at ~4.8 </w:t>
      </w:r>
      <w:proofErr w:type="spellStart"/>
      <w:r w:rsidRPr="004742BD">
        <w:t>GPa</w:t>
      </w:r>
      <w:proofErr w:type="spellEnd"/>
      <w:r w:rsidRPr="004742BD">
        <w:t xml:space="preserve">. </w:t>
      </w:r>
      <w:r>
        <w:t>The</w:t>
      </w:r>
      <w:r w:rsidRPr="004742BD">
        <w:t xml:space="preserve"> pressure was </w:t>
      </w:r>
      <w:r>
        <w:t xml:space="preserve">therefore </w:t>
      </w:r>
      <w:r w:rsidRPr="004742BD">
        <w:t xml:space="preserve">determined </w:t>
      </w:r>
      <w:r>
        <w:t>from the Cu (111) peak position in</w:t>
      </w:r>
      <w:r w:rsidRPr="004742BD">
        <w:t xml:space="preserve"> the sum of 6 consecutive diffraction images. </w:t>
      </w:r>
    </w:p>
    <w:p w14:paraId="0D6DFACC" w14:textId="3E11A5F5" w:rsidR="00A20AFF" w:rsidRPr="004742BD" w:rsidRDefault="00A20AFF" w:rsidP="00A20AFF">
      <w:pPr>
        <w:pStyle w:val="IUCrbodytext"/>
      </w:pPr>
      <w:r w:rsidRPr="004742BD">
        <w:t>The number of observed Bi-III reflections was insufficient to determine the unit cell volume. However, a rough pressure estimate was obtained from a linear fit to the (2110) peak position based on lattice parameters reported in previous work</w:t>
      </w:r>
      <w:r>
        <w:t xml:space="preserve"> </w:t>
      </w:r>
      <w:r>
        <w:fldChar w:fldCharType="begin"/>
      </w:r>
      <w:r w:rsidR="006722F5">
        <w:instrText xml:space="preserve"> ADDIN ZOTERO_ITEM CSL_CITATION {"citationID":"04EvmEOF","properties":{"formattedCitation":"(Degtyareva {\\i{}et al.}, 2004)","plainCitation":"(Degtyareva et al., 2004)","noteIndex":0},"citationItems":[{"id":141,"uris":["http://zotero.org/users/local/dwaXvkNj/items/M66FT6NF"],"uri":["http://zotero.org/users/local/dwaXvkNj/items/M66FT6NF"],"itemData":{"id":141,"type":"article-journal","title":"High-pressure structural studies of group-15 elements","container-title":"High Pressure Research","page":"319-356","volume":"24","issue":"3","source":"Taylor and Francis+NEJM","abstract":"Recent advances in high-pressure experimental techniques have yielded high-quality x-ray diffraction data for the high-pressure phases of the group-15 elements Bi, Sb and As, and have made it possible to solve several long-standing problems in their structures. In particular, several complex incommensurate host–guest structures have been identified. This paper reviews the present state of knowledge of the structural transition sequences for these elements at high pressure and room temperature, including a summary of previous work, a detailed presentation of the new structures, and revised equations of state.","DOI":"10.1080/08957950412331281057","ISSN":"0895-7959","journalAbbreviation":"High Press. Res.","author":[{"family":"Degtyareva","given":"O."},{"family":"MCMahon","given":"M. I."},{"family":"Nelmes","given":"R. J."}],"issued":{"date-parts":[["2004",9,1]]}}}],"schema":"https://github.com/citation-style-language/schema/raw/master/csl-citation.json"} </w:instrText>
      </w:r>
      <w:r>
        <w:fldChar w:fldCharType="separate"/>
      </w:r>
      <w:r w:rsidRPr="007C0A1E">
        <w:t xml:space="preserve">(Degtyareva </w:t>
      </w:r>
      <w:r w:rsidRPr="007C0A1E">
        <w:rPr>
          <w:i/>
          <w:iCs/>
        </w:rPr>
        <w:t>et al.</w:t>
      </w:r>
      <w:r w:rsidRPr="007C0A1E">
        <w:t>, 2004)</w:t>
      </w:r>
      <w:r>
        <w:fldChar w:fldCharType="end"/>
      </w:r>
      <w:r w:rsidRPr="004742BD">
        <w:t xml:space="preserve">, which determined a starting pressure of </w:t>
      </w:r>
      <w:r>
        <w:t>~</w:t>
      </w:r>
      <w:r w:rsidRPr="004742BD">
        <w:t>4.</w:t>
      </w:r>
      <w:r>
        <w:t>3</w:t>
      </w:r>
      <w:r w:rsidRPr="004742BD">
        <w:t xml:space="preserve"> </w:t>
      </w:r>
      <w:proofErr w:type="spellStart"/>
      <w:r w:rsidRPr="004742BD">
        <w:t>GPa</w:t>
      </w:r>
      <w:proofErr w:type="spellEnd"/>
      <w:r>
        <w:t xml:space="preserve"> and a pressure of ~8.3 </w:t>
      </w:r>
      <w:proofErr w:type="spellStart"/>
      <w:r>
        <w:t>GPa</w:t>
      </w:r>
      <w:proofErr w:type="spellEnd"/>
      <w:r>
        <w:t xml:space="preserve"> for the first observation of Bi-V</w:t>
      </w:r>
      <w:r w:rsidRPr="004742BD">
        <w:t xml:space="preserve">. No evidence of the high temperature Bi-IV phase was observed, suggesting that the temperature remained below ~450 K </w:t>
      </w:r>
      <w:r w:rsidRPr="001F1642">
        <w:fldChar w:fldCharType="begin"/>
      </w:r>
      <w:r w:rsidR="006722F5">
        <w:instrText xml:space="preserve"> ADDIN ZOTERO_ITEM CSL_CITATION {"citationID":"hblNDi2u","properties":{"formattedCitation":"(Klement {\\i{}et al.}, 1963)","plainCitation":"(Klement et al., 1963)","noteIndex":0},"citationItems":[{"id":"k3ssTldU/FriziYYF","uris":["http://zotero.org/users/local/uJBp8IoE/items/5KIH839K"],"uri":["http://zotero.org/users/local/uJBp8IoE/items/5KIH839K"],"itemData":{"id":273,"type":"article-journal","abstract":"The meltings under pressure of arsenic, antimony, and bismuth have been determined up to nearly 70 kbar by means of differential thermal analysis (DTA). Arsenic initially melts with a positive dTdP, the fusion curve flattening out near 940°C at the highest pressures attained. The fusion curve of antimony exhibits practically no change with pressure initially, but takes on a slightly negative slope at higher pressures until a triple point is encountered near 57 kbar and 567°C; the high-pressure polymorph melts with a positive slope of 4.3°C/kbar. For bismuth, a triple point between the liquid and polymorphs IV and V occurs near 38.0 kbar and 296°C, in addition to the well-studied liquid-I-II and liquid-II-IV triple points at lower pressures. DTA was also used to determine the solid-solid phase boundaries in bismuth, triple points occurring between II, III, and IV near 24.0 kbar and 180°C and between III, IV, and V near 53 kbar and 174°C. The III-IV transition occurs at different temperatures upon heating and cooling and this hysteresis interval increases with pressure. No hystereses were observed for the IV-V and III-V transitions. At room temperature and at pressures beyond the well-known I-II and II-III transitions, the III-V transition is next encountered near </w:instrText>
      </w:r>
      <w:r w:rsidR="006722F5">
        <w:rPr>
          <w:rFonts w:ascii="Cambria Math" w:hAnsi="Cambria Math" w:cs="Cambria Math"/>
        </w:rPr>
        <w:instrText>∼</w:instrText>
      </w:r>
      <w:r w:rsidR="006722F5">
        <w:instrText xml:space="preserve">78-82 kbar (as estimated by extrapolation). Suggestions are made for the structures of the high-pressure Bi polymorphs and analogies are drawn between Bi, Sb, and As for the melting and distortion under pressure of the normal rhombohedral structure.","container-title":"Physical Review","DOI":"10.1103/PhysRev.131.632","issue":"2","journalAbbreviation":"Phys. Rev.","note":"publisher: American Physical Society","page":"632-637","source":"APS","title":"Phase Diagrams of Arsenic, Antimony, and Bismuth at Pressures up to 70 kbars","volume":"131","author":[{"family":"Klement","given":"W."},{"family":"Jayaraman","given":"A."},{"family":"Kennedy","given":"G. C."}],"issued":{"date-parts":[["1963",7,15]]}}}],"schema":"https://github.com/citation-style-language/schema/raw/master/csl-citation.json"} </w:instrText>
      </w:r>
      <w:r w:rsidRPr="001F1642">
        <w:fldChar w:fldCharType="separate"/>
      </w:r>
      <w:r w:rsidRPr="000266C4">
        <w:t xml:space="preserve">(Klement </w:t>
      </w:r>
      <w:r w:rsidRPr="000266C4">
        <w:rPr>
          <w:i/>
          <w:iCs/>
        </w:rPr>
        <w:t>et al.</w:t>
      </w:r>
      <w:r w:rsidRPr="000266C4">
        <w:t>, 1963)</w:t>
      </w:r>
      <w:r w:rsidRPr="001F1642">
        <w:fldChar w:fldCharType="end"/>
      </w:r>
      <w:r w:rsidRPr="004742BD">
        <w:t>.</w:t>
      </w:r>
      <w:r>
        <w:t xml:space="preserve"> The azimuthal position of the Bi-III reflections remained constant during compression, which again ruled out the possibility of melting and recrystallization between consecutive pulses. </w:t>
      </w:r>
    </w:p>
    <w:p w14:paraId="4F3B1410" w14:textId="4860FE47" w:rsidR="00A20AFF" w:rsidRPr="004742BD" w:rsidRDefault="00A20AFF" w:rsidP="00A20AFF">
      <w:pPr>
        <w:pStyle w:val="IUCrbodytext"/>
      </w:pPr>
      <w:r w:rsidRPr="004742BD">
        <w:t>Evidence of Bi-V was first observed 235 µs after the start of the voltage waveform, where the pressure was estimated to be 9.1 </w:t>
      </w:r>
      <w:proofErr w:type="spellStart"/>
      <w:r w:rsidRPr="004742BD">
        <w:t>GPa</w:t>
      </w:r>
      <w:proofErr w:type="spellEnd"/>
      <w:r w:rsidRPr="004742BD">
        <w:t xml:space="preserve"> based on </w:t>
      </w:r>
      <w:r>
        <w:t xml:space="preserve">the </w:t>
      </w:r>
      <w:proofErr w:type="spellStart"/>
      <w:r>
        <w:t>EoS</w:t>
      </w:r>
      <w:proofErr w:type="spellEnd"/>
      <w:r>
        <w:t xml:space="preserve"> of </w:t>
      </w:r>
      <w:r w:rsidRPr="004742BD">
        <w:t>Bi-V</w:t>
      </w:r>
      <w:r>
        <w:t xml:space="preserve"> </w:t>
      </w:r>
      <w:r>
        <w:fldChar w:fldCharType="begin"/>
      </w:r>
      <w:r w:rsidR="006722F5">
        <w:instrText xml:space="preserve"> ADDIN ZOTERO_ITEM CSL_CITATION {"citationID":"AewZ4TlI","properties":{"formattedCitation":"(Degtyareva {\\i{}et al.}, 2004)","plainCitation":"(Degtyareva et al., 2004)","noteIndex":0},"citationItems":[{"id":141,"uris":["http://zotero.org/users/local/dwaXvkNj/items/M66FT6NF"],"uri":["http://zotero.org/users/local/dwaXvkNj/items/M66FT6NF"],"itemData":{"id":141,"type":"article-journal","title":"High-pressure structural studies of group-15 elements","container-title":"High Pressure Research","page":"319-356","volume":"24","issue":"3","source":"Taylor and Francis+NEJM","abstract":"Recent advances in high-pressure experimental techniques have yielded high-quality x-ray diffraction data for the high-pressure phases of the group-15 elements Bi, Sb and As, and have made it possible to solve several long-standing problems in their structures. In particular, several complex incommensurate host–guest structures have been identified. This paper reviews the present state of knowledge of the structural transition sequences for these elements at high pressure and room temperature, including a summary of previous work, a detailed presentation of the new structures, and revised equations of state.","DOI":"10.1080/08957950412331281057","ISSN":"0895-7959","journalAbbreviation":"High Press. Res.","author":[{"family":"Degtyareva","given":"O."},{"family":"MCMahon","given":"M. I."},{"family":"Nelmes","given":"R. J."}],"issued":{"date-parts":[["2004",9,1]]}}}],"schema":"https://github.com/citation-style-language/schema/raw/master/csl-citation.json"} </w:instrText>
      </w:r>
      <w:r>
        <w:fldChar w:fldCharType="separate"/>
      </w:r>
      <w:r w:rsidRPr="007C0A1E">
        <w:t xml:space="preserve">(Degtyareva </w:t>
      </w:r>
      <w:r w:rsidRPr="007C0A1E">
        <w:rPr>
          <w:i/>
          <w:iCs/>
        </w:rPr>
        <w:t>et al.</w:t>
      </w:r>
      <w:r w:rsidRPr="007C0A1E">
        <w:t>, 2004)</w:t>
      </w:r>
      <w:r>
        <w:fldChar w:fldCharType="end"/>
      </w:r>
      <w:r w:rsidRPr="004742BD">
        <w:t xml:space="preserve">. The </w:t>
      </w:r>
      <w:r w:rsidRPr="004742BD">
        <w:lastRenderedPageBreak/>
        <w:t xml:space="preserve">azimuthal intensity distribution of Debye Scherrer rings from Bi-V were much more uniform than for Bi-III, which is more favourable for identifying the onset of the phase transition. A total of 13 mixed-phase Bi-III/Bi-V diffraction patterns were observed (Fig. </w:t>
      </w:r>
      <w:r>
        <w:t>6</w:t>
      </w:r>
      <w:r w:rsidRPr="004742BD">
        <w:t xml:space="preserve"> (b)), indicating a timescale of ≥11.4 µs</w:t>
      </w:r>
      <w:r>
        <w:t xml:space="preserve"> for the transformation of the sample volume</w:t>
      </w:r>
      <w:r w:rsidRPr="004742BD">
        <w:t xml:space="preserve">. The pressure increase was approximately linear in the Bi-V phase (Fig. </w:t>
      </w:r>
      <w:r>
        <w:t>6</w:t>
      </w:r>
      <w:r w:rsidRPr="004742BD">
        <w:t xml:space="preserve"> (c)) with a compression rate of 7</w:t>
      </w:r>
      <w:r>
        <w:t>6</w:t>
      </w:r>
      <w:r w:rsidRPr="004742BD">
        <w:t> </w:t>
      </w:r>
      <w:proofErr w:type="spellStart"/>
      <w:r w:rsidRPr="004742BD">
        <w:t>TPa</w:t>
      </w:r>
      <w:proofErr w:type="spellEnd"/>
      <w:r w:rsidRPr="004742BD">
        <w:t xml:space="preserve">/s – two orders of magnitude faster than previous work </w:t>
      </w:r>
      <w:r w:rsidRPr="001F1642">
        <w:fldChar w:fldCharType="begin"/>
      </w:r>
      <w:r>
        <w:instrText xml:space="preserve"> ADDIN ZOTERO_ITEM CSL_CITATION {"citationID":"gsEHqd9x","properties":{"formattedCitation":"(Husband, O\\uc0\\u8217{}Bannon {\\i{}et al.}, 2021)","plainCitation":"(Husband, O’Bannon et al., 2021)","noteIndex":0},"citationItems":[{"id":121,"uris":["http://zotero.org/users/local/dwaXvkNj/items/8B3LT9HW"],"uri":["http://zotero.org/users/local/dwaXvkNj/items/8B3LT9HW"],"itemData":{"id":121,"type":"article-journal","title":"Compression-rate dependence of pressure-induced phase transitions in Bi","container-title":"Scientific Reports","page":"14859","volume":"11","issue":"1","source":"www.nature.com","abstract":"It is qualitatively well known that kinetics related to nucleation and growth can shift apparent phase boundaries from their equilibrium value. In this work, we have measured this effect in Bi using time-resolved X-ray diffraction with unprecedented 0.25 ms time resolution, accurately determining phase transition pressures at compression rates spanning five orders of magnitude (10–2–103 GPa/s) using the dynamic diamond anvil cell. An over-pressurization of the Bi-III/Bi-V phase boundary is observed at fast compression rates for different sample types and stress states, and the largest over-pressurization that is observed is ΔP = 2.5 GPa. The work presented here paves the way for future studies of transition kinetics at previously inaccessible compression rates.","DOI":"10.1038/s41598-021-94260-y","ISSN":"2045-2322","journalAbbreviation":"Sci. Rep.","language":"en","author":[{"family":"Husband","given":"Rachel J."},{"family":"O’Bannon","given":"Earl F."},{"family":"Liermann","given":"Hanns-Peter"},{"family":"Lipp","given":"Magnus J."},{"family":"Méndez","given":"Alba S. J."},{"family":"Konôpková","given":"Zuzana"},{"family":"McBride","given":"Emma E."},{"family":"Evans","given":"William J."},{"family":"Jenei","given":"Zsolt"}],"issued":{"date-parts":[["2021",7,21]]}}}],"schema":"https://github.com/citation-style-language/schema/raw/master/csl-citation.json"} </w:instrText>
      </w:r>
      <w:r w:rsidRPr="001F1642">
        <w:fldChar w:fldCharType="separate"/>
      </w:r>
      <w:r w:rsidRPr="001E360B">
        <w:t xml:space="preserve">(Husband, O’Bannon </w:t>
      </w:r>
      <w:r w:rsidRPr="001E360B">
        <w:rPr>
          <w:i/>
          <w:iCs/>
        </w:rPr>
        <w:t>et al.</w:t>
      </w:r>
      <w:r w:rsidRPr="001E360B">
        <w:t>, 2021)</w:t>
      </w:r>
      <w:r w:rsidRPr="001F1642">
        <w:fldChar w:fldCharType="end"/>
      </w:r>
      <w:r>
        <w:t xml:space="preserve"> – which corresponds to a strain rate of 710 s</w:t>
      </w:r>
      <w:r w:rsidRPr="00A45875">
        <w:rPr>
          <w:vertAlign w:val="superscript"/>
        </w:rPr>
        <w:t>-1</w:t>
      </w:r>
      <w:r>
        <w:t xml:space="preserve"> in Bi-V</w:t>
      </w:r>
      <w:r w:rsidRPr="004742BD">
        <w:t>. The observed transition pressure is the same as previously observed for Bi foils compressed at significantly lower compression rates (~10 </w:t>
      </w:r>
      <w:proofErr w:type="spellStart"/>
      <w:r w:rsidRPr="004742BD">
        <w:t>GPa</w:t>
      </w:r>
      <w:proofErr w:type="spellEnd"/>
      <w:r w:rsidRPr="004742BD">
        <w:t xml:space="preserve">/s) </w:t>
      </w:r>
      <w:r w:rsidRPr="005677D2">
        <w:fldChar w:fldCharType="begin"/>
      </w:r>
      <w:r>
        <w:instrText xml:space="preserve"> ADDIN ZOTERO_ITEM CSL_CITATION {"citationID":"d2ORmzjF","properties":{"formattedCitation":"(Husband, O\\uc0\\u8217{}Bannon {\\i{}et al.}, 2021)","plainCitation":"(Husband, O’Bannon et al., 2021)","noteIndex":0},"citationItems":[{"id":121,"uris":["http://zotero.org/users/local/dwaXvkNj/items/8B3LT9HW"],"uri":["http://zotero.org/users/local/dwaXvkNj/items/8B3LT9HW"],"itemData":{"id":121,"type":"article-journal","title":"Compression-rate dependence of pressure-induced phase transitions in Bi","container-title":"Scientific Reports","page":"14859","volume":"11","issue":"1","source":"www.nature.com","abstract":"It is qualitatively well known that kinetics related to nucleation and growth can shift apparent phase boundaries from their equilibrium value. In this work, we have measured this effect in Bi using time-resolved X-ray diffraction with unprecedented 0.25 ms time resolution, accurately determining phase transition pressures at compression rates spanning five orders of magnitude (10–2–103 GPa/s) using the dynamic diamond anvil cell. An over-pressurization of the Bi-III/Bi-V phase boundary is observed at fast compression rates for different sample types and stress states, and the largest over-pressurization that is observed is ΔP = 2.5 GPa. The work presented here paves the way for future studies of transition kinetics at previously inaccessible compression rates.","DOI":"10.1038/s41598-021-94260-y","ISSN":"2045-2322","journalAbbreviation":"Sci. Rep.","language":"en","author":[{"family":"Husband","given":"Rachel J."},{"family":"O’Bannon","given":"Earl F."},{"family":"Liermann","given":"Hanns-Peter"},{"family":"Lipp","given":"Magnus J."},{"family":"Méndez","given":"Alba S. J."},{"family":"Konôpková","given":"Zuzana"},{"family":"McBride","given":"Emma E."},{"family":"Evans","given":"William J."},{"family":"Jenei","given":"Zsolt"}],"issued":{"date-parts":[["2021",7,21]]}}}],"schema":"https://github.com/citation-style-language/schema/raw/master/csl-citation.json"} </w:instrText>
      </w:r>
      <w:r w:rsidRPr="005677D2">
        <w:fldChar w:fldCharType="separate"/>
      </w:r>
      <w:r w:rsidRPr="001E360B">
        <w:t xml:space="preserve">(Husband, O’Bannon </w:t>
      </w:r>
      <w:r w:rsidRPr="001E360B">
        <w:rPr>
          <w:i/>
          <w:iCs/>
        </w:rPr>
        <w:t>et al.</w:t>
      </w:r>
      <w:r w:rsidRPr="001E360B">
        <w:t>, 2021)</w:t>
      </w:r>
      <w:r w:rsidRPr="005677D2">
        <w:fldChar w:fldCharType="end"/>
      </w:r>
      <w:r w:rsidRPr="004742BD">
        <w:t xml:space="preserve">, which may be related to sample heating and the </w:t>
      </w:r>
      <w:r w:rsidR="00A159C0">
        <w:t>negative</w:t>
      </w:r>
      <w:r w:rsidRPr="004742BD">
        <w:t xml:space="preserve"> </w:t>
      </w:r>
      <w:r w:rsidRPr="002428B1">
        <w:rPr>
          <w:i/>
        </w:rPr>
        <w:t>P-T</w:t>
      </w:r>
      <w:r w:rsidRPr="004742BD">
        <w:t xml:space="preserve"> slope of the Bi-III/Bi-V phase boundary. </w:t>
      </w:r>
    </w:p>
    <w:p w14:paraId="287D8D3E" w14:textId="046B960C" w:rsidR="00A20AFF" w:rsidRDefault="00394571" w:rsidP="00A20AFF">
      <w:pPr>
        <w:pStyle w:val="IUCrbodytext"/>
        <w:jc w:val="center"/>
      </w:pPr>
      <w:r>
        <w:rPr>
          <w:noProof/>
        </w:rPr>
        <w:drawing>
          <wp:inline distT="0" distB="0" distL="0" distR="0" wp14:anchorId="2E68093A" wp14:editId="78E73A64">
            <wp:extent cx="3995126" cy="491490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8331" cy="4931145"/>
                    </a:xfrm>
                    <a:prstGeom prst="rect">
                      <a:avLst/>
                    </a:prstGeom>
                  </pic:spPr>
                </pic:pic>
              </a:graphicData>
            </a:graphic>
          </wp:inline>
        </w:drawing>
      </w:r>
    </w:p>
    <w:p w14:paraId="73A05EC9" w14:textId="1FAB35EA" w:rsidR="00A20AFF" w:rsidRPr="002F10D4" w:rsidRDefault="00A20AFF" w:rsidP="00A20AFF">
      <w:pPr>
        <w:pStyle w:val="IUCrfigurecaption"/>
        <w:rPr>
          <w:strike/>
          <w:color w:val="FF0000"/>
        </w:rPr>
      </w:pPr>
      <w:bookmarkStart w:id="18" w:name="_GoBack"/>
      <w:bookmarkEnd w:id="18"/>
      <w:r>
        <w:t>Dynamic compression of Bi. (a) Integrated XRD data as a function of time. (b) Selected integrated patterns illustrating the pressure-induced Bi-III/Bi-V structural phase transition. (c) Voltage applied to the piezo actuator and sample pressure as a function of time. In (a), the reflections from Bi-III, which has a host-guest structure, are identified using four Miller indices (</w:t>
      </w:r>
      <w:proofErr w:type="spellStart"/>
      <w:r>
        <w:t>hklm</w:t>
      </w:r>
      <w:proofErr w:type="spellEnd"/>
      <w:r>
        <w:t xml:space="preserve">) </w:t>
      </w:r>
      <w:r>
        <w:fldChar w:fldCharType="begin"/>
      </w:r>
      <w:r>
        <w:instrText xml:space="preserve"> ADDIN ZOTERO_ITEM CSL_CITATION {"citationID":"4K2RWXRx","properties":{"formattedCitation":"(McMahon {\\i{}et al.}, 2007)","plainCitation":"(McMahon et al., 2007)","noteIndex":0},"citationItems":[{"id":118,"uris":["http://zotero.org/users/local/dwaXvkNj/items/25HB9MEM"],"uri":["http://zotero.org/users/local/dwaXvkNj/items/25HB9MEM"],"itemData":{"id":118,"type":"article-journal","title":"Incommensurate modulations of Bi-III and Sb-II","container-title":"Physical Review B","page":"184114","volume":"75","issue":"18","source":"APS","abstract":"Single-crystal diffraction data from the incommensurate host-guest composite structure of Bi-III—stable between 2.8 and 7.7GPa—are found to contain very weak satellite reflections arising from structural modulations attributed to interactions between the host and guest structures. The principal effects of the modulation are a quasipairing of the guest atoms along their chains and some reduction in the closest approach of the host and guest atoms. It is suggested that these modulations play a key role in the stability of the structure. A similar modulated structure fits powder-diffraction data from Sb-II.","DOI":"10.1103/PhysRevB.75.184114","journalAbbreviation":"Phys. Rev. B","author":[{"family":"McMahon","given":"M. I."},{"family":"Degtyareva","given":"O."},{"family":"Nelmes","given":"R. J."},{"family":"Smaalen","given":"S.","non-dropping-particle":"van"},{"family":"Palatinus","given":"L."}],"issued":{"date-parts":[["2007",5,29]]}}}],"schema":"https://github.com/citation-style-language/schema/raw/master/csl-citation.json"} </w:instrText>
      </w:r>
      <w:r>
        <w:fldChar w:fldCharType="separate"/>
      </w:r>
      <w:r w:rsidRPr="0089694D">
        <w:rPr>
          <w:szCs w:val="24"/>
        </w:rPr>
        <w:t xml:space="preserve">(McMahon </w:t>
      </w:r>
      <w:r w:rsidRPr="0089694D">
        <w:rPr>
          <w:i/>
          <w:iCs/>
          <w:szCs w:val="24"/>
        </w:rPr>
        <w:t>et al.</w:t>
      </w:r>
      <w:r w:rsidRPr="0089694D">
        <w:rPr>
          <w:szCs w:val="24"/>
        </w:rPr>
        <w:t>, 2007)</w:t>
      </w:r>
      <w:r>
        <w:fldChar w:fldCharType="end"/>
      </w:r>
      <w:r>
        <w:t xml:space="preserve">. In (c), </w:t>
      </w:r>
      <w:proofErr w:type="spellStart"/>
      <w:r>
        <w:t>P</w:t>
      </w:r>
      <w:r w:rsidRPr="00A00DC2">
        <w:rPr>
          <w:vertAlign w:val="subscript"/>
        </w:rPr>
        <w:t>Bi</w:t>
      </w:r>
      <w:proofErr w:type="spellEnd"/>
      <w:r>
        <w:t xml:space="preserve"> was determined using the </w:t>
      </w:r>
      <w:proofErr w:type="spellStart"/>
      <w:r>
        <w:t>EoS</w:t>
      </w:r>
      <w:proofErr w:type="spellEnd"/>
      <w:r>
        <w:t xml:space="preserve"> of Bi-V </w:t>
      </w:r>
      <w:r>
        <w:fldChar w:fldCharType="begin"/>
      </w:r>
      <w:r w:rsidR="006722F5">
        <w:instrText xml:space="preserve"> ADDIN ZOTERO_ITEM CSL_CITATION {"citationID":"gdETuFie","properties":{"formattedCitation":"(Degtyareva {\\i{}et al.}, 2004)","plainCitation":"(Degtyareva et al., 2004)","noteIndex":0},"citationItems":[{"id":141,"uris":["http://zotero.org/users/local/dwaXvkNj/items/M66FT6NF"],"uri":["http://zotero.org/users/local/dwaXvkNj/items/M66FT6NF"],"itemData":{"id":141,"type":"article-journal","title":"High-pressure structural studies of group-15 elements","container-title":"High Pressure Research","page":"319-356","volume":"24","issue":"3","source":"Taylor and Francis+NEJM","abstract":"Recent advances in high-pressure experimental techniques have yielded high-quality x-ray diffraction data for the high-pressure phases of the group-15 elements Bi, Sb and As, and have made it possible to solve several long-standing problems in their structures. In particular, several complex incommensurate host–guest structures have been identified. This paper reviews the present state of knowledge of the structural transition sequences for these elements at high pressure and room temperature, including a summary of previous work, a detailed presentation of the new structures, and revised equations of state.","DOI":"10.1080/08957950412331281057","ISSN":"0895-7959","journalAbbreviation":"High Press. Res.","author":[{"family":"Degtyareva","given":"O."},{"family":"MCMahon","given":"M. I."},{"family":"Nelmes","given":"R. J."}],"issued":{"date-parts":[["2004",9,1]]}}}],"schema":"https://github.com/citation-style-language/schema/raw/master/csl-citation.json"} </w:instrText>
      </w:r>
      <w:r>
        <w:fldChar w:fldCharType="separate"/>
      </w:r>
      <w:r w:rsidRPr="007C0A1E">
        <w:rPr>
          <w:szCs w:val="24"/>
        </w:rPr>
        <w:t xml:space="preserve">(Degtyareva </w:t>
      </w:r>
      <w:r w:rsidRPr="007C0A1E">
        <w:rPr>
          <w:i/>
          <w:iCs/>
          <w:szCs w:val="24"/>
        </w:rPr>
        <w:t>et al.</w:t>
      </w:r>
      <w:r w:rsidRPr="007C0A1E">
        <w:rPr>
          <w:szCs w:val="24"/>
        </w:rPr>
        <w:t>, 2004)</w:t>
      </w:r>
      <w:r>
        <w:fldChar w:fldCharType="end"/>
      </w:r>
      <w:r>
        <w:t xml:space="preserve"> and </w:t>
      </w:r>
      <w:proofErr w:type="spellStart"/>
      <w:r>
        <w:t>P</w:t>
      </w:r>
      <w:r w:rsidRPr="00A00DC2">
        <w:rPr>
          <w:vertAlign w:val="subscript"/>
        </w:rPr>
        <w:t>Cu</w:t>
      </w:r>
      <w:proofErr w:type="spellEnd"/>
      <w:r>
        <w:t xml:space="preserve"> was </w:t>
      </w:r>
      <w:r>
        <w:lastRenderedPageBreak/>
        <w:t xml:space="preserve">determined using the </w:t>
      </w:r>
      <w:proofErr w:type="spellStart"/>
      <w:r>
        <w:t>EoS</w:t>
      </w:r>
      <w:proofErr w:type="spellEnd"/>
      <w:r>
        <w:t xml:space="preserve"> of Cu </w:t>
      </w:r>
      <w:r>
        <w:fldChar w:fldCharType="begin"/>
      </w:r>
      <w:r w:rsidR="006722F5">
        <w:instrText xml:space="preserve"> ADDIN ZOTERO_ITEM CSL_CITATION {"citationID":"Df8yeedz","properties":{"formattedCitation":"(Dewaele {\\i{}et al.}, 2004)","plainCitation":"(Dewaele et al., 2004)","noteIndex":0},"citationItems":[{"id":"k3ssTldU/lIkgUVGj","uris":["http://zotero.org/users/local/uJBp8IoE/items/L7MVXRBK"],"uri":["http://zotero.org/users/local/uJBp8IoE/items/L7MVXRBK"],"itemData":{"id":"Hg2RBGZ4/x4resVxC","type":"article-journal","abstract":"Compression versus pressure at ambient temperature has been measured for tantalum, gold, and platinum to 94GPa and for aluminum, copper, and tungsten to 153GPa, in a diamond anvil cell. Standard synchrotron x-ray diffraction accuracy in the volume determination could be achieved to the maximum pressure. The current data set is used to recalibrate the static pressure scale based on the ruby luminescence, confirming recent suggestions of an underestimation of pressure. Using an updated pressure calibration, the consistency between ultrasonic, dynamic, and static measurements of the equations of state is improved for these six equations of state. This consistency allows us to test the predictive power of density functional theory, with different approximations, for equation-of-state calculations. For example, the generalized gradient approximation leads to very accurate results, except for gold, the heaviest element.","container-title":"Physical Review B","DOI":"10.1103/PhysRevB.70.094112","issue":"9","journalAbbreviation":"Phys. Rev. B","note":"publisher: American Physical Society","page":"094112","source":"APS","title":"Equations of state of six metals above $94\\phantom{\\rule{0.3em}{0ex}}\\mathrm{GPa}$","volume":"70","author":[{"family":"Dewaele","given":"Agnès"},{"family":"Loubeyre","given":"Paul"},{"family":"Mezouar","given":"Mohamed"}],"issued":{"date-parts":[["2004",9,22]]}}}],"schema":"https://github.com/citation-style-language/schema/raw/master/csl-citation.json"} </w:instrText>
      </w:r>
      <w:r>
        <w:fldChar w:fldCharType="separate"/>
      </w:r>
      <w:r w:rsidRPr="00A00DC2">
        <w:rPr>
          <w:szCs w:val="24"/>
        </w:rPr>
        <w:t xml:space="preserve">(Dewaele </w:t>
      </w:r>
      <w:r w:rsidRPr="00A00DC2">
        <w:rPr>
          <w:i/>
          <w:iCs/>
          <w:szCs w:val="24"/>
        </w:rPr>
        <w:t>et al.</w:t>
      </w:r>
      <w:r w:rsidRPr="00A00DC2">
        <w:rPr>
          <w:szCs w:val="24"/>
        </w:rPr>
        <w:t>, 2004)</w:t>
      </w:r>
      <w:r>
        <w:fldChar w:fldCharType="end"/>
      </w:r>
      <w:r>
        <w:t xml:space="preserve">. The intensity of the Cu (111) reflection was very weak, and so </w:t>
      </w:r>
      <w:proofErr w:type="spellStart"/>
      <w:r>
        <w:t>P</w:t>
      </w:r>
      <w:r w:rsidRPr="00A00DC2">
        <w:rPr>
          <w:vertAlign w:val="subscript"/>
        </w:rPr>
        <w:t>Cu</w:t>
      </w:r>
      <w:proofErr w:type="spellEnd"/>
      <w:r>
        <w:t xml:space="preserve"> was determined from the sum of 6 consecutive diffraction images</w:t>
      </w:r>
      <w:r w:rsidR="006A1872">
        <w:t>.</w:t>
      </w:r>
      <w:r w:rsidRPr="002F10D4">
        <w:rPr>
          <w:strike/>
          <w:color w:val="FF0000"/>
        </w:rPr>
        <w:t xml:space="preserve"> </w:t>
      </w:r>
    </w:p>
    <w:p w14:paraId="6A6127FF" w14:textId="77777777" w:rsidR="00A20AFF" w:rsidRPr="00532027" w:rsidRDefault="00A20AFF" w:rsidP="00A20AFF">
      <w:pPr>
        <w:pStyle w:val="IUCrheading2"/>
        <w:numPr>
          <w:ilvl w:val="1"/>
          <w:numId w:val="34"/>
        </w:numPr>
        <w:textAlignment w:val="auto"/>
      </w:pPr>
      <w:r>
        <w:t xml:space="preserve">Science case 2: Dynamic compression of </w:t>
      </w:r>
      <w:proofErr w:type="spellStart"/>
      <w:r>
        <w:t>Ti</w:t>
      </w:r>
      <w:proofErr w:type="spellEnd"/>
    </w:p>
    <w:p w14:paraId="2C485FE4" w14:textId="66C6B477" w:rsidR="00A20AFF" w:rsidRPr="00277D5D" w:rsidRDefault="00A20AFF" w:rsidP="00A20AFF">
      <w:pPr>
        <w:pStyle w:val="IUCrbodytext"/>
      </w:pPr>
      <w:proofErr w:type="spellStart"/>
      <w:r w:rsidRPr="004742BD">
        <w:t>Ti</w:t>
      </w:r>
      <w:proofErr w:type="spellEnd"/>
      <w:r w:rsidRPr="004742BD">
        <w:t xml:space="preserve"> (Z = 22) is an industrially and scientifically important metal due to its high strength-to-weight ratio and corrosion resistance. </w:t>
      </w:r>
      <w:proofErr w:type="spellStart"/>
      <w:r w:rsidRPr="004742BD">
        <w:rPr>
          <w:rStyle w:val="IUCrbodytextChar"/>
          <w:rFonts w:eastAsiaTheme="minorHAnsi"/>
        </w:rPr>
        <w:t>Ti</w:t>
      </w:r>
      <w:proofErr w:type="spellEnd"/>
      <w:r w:rsidRPr="004742BD">
        <w:rPr>
          <w:rStyle w:val="IUCrbodytextChar"/>
          <w:rFonts w:eastAsiaTheme="minorHAnsi"/>
        </w:rPr>
        <w:t xml:space="preserve"> undergoes a martensitic structural transition from the hcp </w:t>
      </w:r>
      <w:r w:rsidRPr="00E61CE5">
        <w:rPr>
          <w:rStyle w:val="IUCrbodytextChar"/>
          <w:rFonts w:eastAsiaTheme="minorHAnsi"/>
        </w:rPr>
        <w:t>α</w:t>
      </w:r>
      <w:r w:rsidRPr="004742BD">
        <w:rPr>
          <w:rStyle w:val="IUCrbodytextChar"/>
          <w:rFonts w:eastAsiaTheme="minorHAnsi"/>
        </w:rPr>
        <w:t>-</w:t>
      </w:r>
      <w:proofErr w:type="spellStart"/>
      <w:r w:rsidRPr="004742BD">
        <w:rPr>
          <w:rStyle w:val="IUCrbodytextChar"/>
          <w:rFonts w:eastAsiaTheme="minorHAnsi"/>
        </w:rPr>
        <w:t>Ti</w:t>
      </w:r>
      <w:proofErr w:type="spellEnd"/>
      <w:r w:rsidRPr="004742BD">
        <w:rPr>
          <w:rStyle w:val="IUCrbodytextChar"/>
          <w:rFonts w:eastAsiaTheme="minorHAnsi"/>
        </w:rPr>
        <w:t xml:space="preserve"> phase to the hexagonal </w:t>
      </w:r>
      <w:r w:rsidRPr="00E61CE5">
        <w:rPr>
          <w:rStyle w:val="IUCrbodytextChar"/>
          <w:rFonts w:eastAsiaTheme="minorHAnsi"/>
        </w:rPr>
        <w:t>ω</w:t>
      </w:r>
      <w:r w:rsidRPr="004742BD">
        <w:rPr>
          <w:rStyle w:val="IUCrbodytextChar"/>
          <w:rFonts w:eastAsiaTheme="minorHAnsi"/>
        </w:rPr>
        <w:t>-</w:t>
      </w:r>
      <w:proofErr w:type="spellStart"/>
      <w:r w:rsidRPr="004742BD">
        <w:rPr>
          <w:rStyle w:val="IUCrbodytextChar"/>
          <w:rFonts w:eastAsiaTheme="minorHAnsi"/>
        </w:rPr>
        <w:t>Ti</w:t>
      </w:r>
      <w:proofErr w:type="spellEnd"/>
      <w:r w:rsidRPr="004742BD">
        <w:rPr>
          <w:rStyle w:val="IUCrbodytextChar"/>
          <w:rFonts w:eastAsiaTheme="minorHAnsi"/>
        </w:rPr>
        <w:t xml:space="preserve"> phase on compression at room temperature, where the onset transition pressure is dependent on multiple factors including material purity</w:t>
      </w:r>
      <w:r>
        <w:rPr>
          <w:rStyle w:val="IUCrbodytextChar"/>
          <w:rFonts w:eastAsiaTheme="minorHAnsi"/>
        </w:rPr>
        <w:t xml:space="preserve"> </w:t>
      </w:r>
      <w:r>
        <w:rPr>
          <w:rStyle w:val="IUCrbodytextChar"/>
          <w:rFonts w:eastAsiaTheme="minorHAnsi"/>
        </w:rPr>
        <w:fldChar w:fldCharType="begin"/>
      </w:r>
      <w:r>
        <w:rPr>
          <w:rStyle w:val="IUCrbodytextChar"/>
          <w:rFonts w:eastAsiaTheme="minorHAnsi"/>
        </w:rPr>
        <w:instrText xml:space="preserve"> ADDIN ZOTERO_ITEM CSL_CITATION {"citationID":"O449mi6K","properties":{"formattedCitation":"(Hennig {\\i{}et al.}, 2005)","plainCitation":"(Hennig et al., 2005)","noteIndex":0},"citationItems":[{"id":151,"uris":["http://zotero.org/users/local/dwaXvkNj/items/CZYQNRT4"],"uri":["http://zotero.org/users/local/dwaXvkNj/items/CZYQNRT4"],"itemData":{"id":151,"type":"article-journal","title":"Impurities block the α to ω martensitic transformation in titanium","container-title":"Nature Materials","page":"129-133","volume":"4","issue":"2","source":"www.nature.com","abstract":"Impurities control phase stability and phase transformations in natural and man-made materials, from shape-memory alloys1 to steel2 to planetary cores3. Experiments and empirical databases are still central to tuning the impurity effects. What is missing is a broad theoretical underpinning. Consider, for example, the titanium martensitic transformations: diffusionless structural transformations proceeding near the speed of sound2. Pure titanium transforms from ductile α to brittle ω at 9 GPa, creating serious technological problems for β-stabilized titanium alloys. Impurities in the titanium alloys A-70 and Ti–6Al–4V (wt%) suppress the transformation up to at least 35 GPa, increasing their technological utility as lightweight materials in aerospace applications. These and other empirical discoveries in technological materials call for broad theoretical understanding. Impurities pose two theoretical challenges: the effect on the relative phase stability, and the energy barrier of the transformation. Ab initio methods4,5 calculate both changes due to impurities. We show that interstitial oxygen, nitrogen and carbon retard the transformation whereas substitutional aluminium and vanadium influence the transformation by changing the d-electron concentration6. The resulting microscopic picture explains the suppression of the transformation in commercial A-70 and Ti–6Al–4V alloys. In general, the effect of impurities on relative energies and energy barriers is central to understanding structural phase transformations.","DOI":"10.1038/nmat1292","ISSN":"1476-4660","journalAbbreviation":"Nat. Mater.","language":"en","author":[{"family":"Hennig","given":"Richard G."},{"family":"Trinkle","given":"Dallas R."},{"family":"Bouchet","given":"Johann"},{"family":"Srinivasan","given":"Srivilliputhur G."},{"family":"Albers","given":"Robert C."},{"family":"Wilkins","given":"John W."}],"issued":{"date-parts":[["2005",2]]}}}],"schema":"https://github.com/citation-style-language/schema/raw/master/csl-citation.json"} </w:instrText>
      </w:r>
      <w:r>
        <w:rPr>
          <w:rStyle w:val="IUCrbodytextChar"/>
          <w:rFonts w:eastAsiaTheme="minorHAnsi"/>
        </w:rPr>
        <w:fldChar w:fldCharType="separate"/>
      </w:r>
      <w:r w:rsidRPr="008D0155">
        <w:t xml:space="preserve">(Hennig </w:t>
      </w:r>
      <w:r w:rsidRPr="008D0155">
        <w:rPr>
          <w:i/>
          <w:iCs/>
        </w:rPr>
        <w:t>et al.</w:t>
      </w:r>
      <w:r w:rsidRPr="008D0155">
        <w:t>, 2005)</w:t>
      </w:r>
      <w:r>
        <w:rPr>
          <w:rStyle w:val="IUCrbodytextChar"/>
          <w:rFonts w:eastAsiaTheme="minorHAnsi"/>
        </w:rPr>
        <w:fldChar w:fldCharType="end"/>
      </w:r>
      <w:r w:rsidRPr="004742BD">
        <w:rPr>
          <w:rStyle w:val="IUCrbodytextChar"/>
          <w:rFonts w:eastAsiaTheme="minorHAnsi"/>
        </w:rPr>
        <w:t xml:space="preserve">, </w:t>
      </w:r>
      <w:proofErr w:type="spellStart"/>
      <w:r w:rsidRPr="004742BD">
        <w:rPr>
          <w:rStyle w:val="IUCrbodytextChar"/>
          <w:rFonts w:eastAsiaTheme="minorHAnsi"/>
        </w:rPr>
        <w:t>hydrostaticity</w:t>
      </w:r>
      <w:proofErr w:type="spellEnd"/>
      <w:r w:rsidRPr="004742BD">
        <w:rPr>
          <w:rStyle w:val="IUCrbodytextChar"/>
          <w:rFonts w:eastAsiaTheme="minorHAnsi"/>
        </w:rPr>
        <w:t xml:space="preserve"> </w:t>
      </w:r>
      <w:r w:rsidRPr="00E61CE5">
        <w:rPr>
          <w:rStyle w:val="IUCrbodytextChar"/>
          <w:rFonts w:eastAsiaTheme="minorHAnsi"/>
        </w:rPr>
        <w:fldChar w:fldCharType="begin"/>
      </w:r>
      <w:r w:rsidR="006722F5">
        <w:rPr>
          <w:rStyle w:val="IUCrbodytextChar"/>
          <w:rFonts w:eastAsiaTheme="minorHAnsi"/>
        </w:rPr>
        <w:instrText xml:space="preserve"> ADDIN ZOTERO_ITEM CSL_CITATION {"citationID":"nhTHCqCF","properties":{"formattedCitation":"(Errandonea {\\i{}et al.}, 2005)","plainCitation":"(Errandonea et al., 2005)","noteIndex":0},"citationItems":[{"id":"k3ssTldU/fhfT6opf","uris":["http://zotero.org/users/local/uJBp8IoE/items/25W56SWU"],"uri":["http://zotero.org/users/local/uJBp8IoE/items/25W56SWU"],"itemData":{"id":383,"type":"article-journal","abstract":"The effects of uniaxial stress on the pressure-induced α→ω transition in pure titanium (Ti) are investigated by means of angle dispersive X-ray diffraction in a diamond-anvil cell. Experiments under four different pressure environments reveal that: (1) the onset of the transition depends on the pressure medium used, going from 4.9GPa (no pressure medium) to 10.5GPa (argon pressure medium); (2) the α and ω phases coexist over a rather large pressure range, which depends on the pressure medium employed; (3) the hysteresis and quenchability of the ω phase is affected by differences in the sample pressure environment; and (4) a short-term laser heating of Ti lowers the α→ω transition pressure. Possible transition mechanisms are discussed in the light of the present results, which clearly demonstrate the influence of uniaxial stress in the α→ω transition.","container-title":"Physica B: Condensed Matter","DOI":"10.1016/j.physb.2004.10.030","ISSN":"0921-4526","issue":"1","journalAbbreviation":"Physica B: Condensed Matter","language":"en","page":"116-125","source":"ScienceDirect","title":"Pressure-induced α→ω transition in titanium metal: a systematic study of the effects of uniaxial stress","title-short":"Pressure-induced α→ω transition in titanium metal","volume":"355","author":[{"family":"Errandonea","given":"Daniel"},{"family":"Meng","given":"Y."},{"family":"Somayazulu","given":"M."},{"family":"Häusermann","given":"D."}],"issued":{"date-parts":[["2005",1,31]]}}}],"schema":"https://github.com/citation-style-language/schema/raw/master/csl-citation.json"} </w:instrText>
      </w:r>
      <w:r w:rsidRPr="00E61CE5">
        <w:rPr>
          <w:rStyle w:val="IUCrbodytextChar"/>
          <w:rFonts w:eastAsiaTheme="minorHAnsi"/>
        </w:rPr>
        <w:fldChar w:fldCharType="separate"/>
      </w:r>
      <w:r w:rsidRPr="000266C4">
        <w:t xml:space="preserve">(Errandonea </w:t>
      </w:r>
      <w:r w:rsidRPr="000266C4">
        <w:rPr>
          <w:i/>
          <w:iCs/>
        </w:rPr>
        <w:t>et al.</w:t>
      </w:r>
      <w:r w:rsidRPr="000266C4">
        <w:t>, 2005)</w:t>
      </w:r>
      <w:r w:rsidRPr="00E61CE5">
        <w:rPr>
          <w:rStyle w:val="IUCrbodytextChar"/>
          <w:rFonts w:eastAsiaTheme="minorHAnsi"/>
        </w:rPr>
        <w:fldChar w:fldCharType="end"/>
      </w:r>
      <w:r w:rsidRPr="004742BD">
        <w:rPr>
          <w:rStyle w:val="IUCrbodytextChar"/>
          <w:rFonts w:eastAsiaTheme="minorHAnsi"/>
        </w:rPr>
        <w:t xml:space="preserve">, and compression rate </w:t>
      </w:r>
      <w:r w:rsidRPr="00E61CE5">
        <w:rPr>
          <w:rStyle w:val="IUCrbodytextChar"/>
          <w:rFonts w:eastAsiaTheme="minorHAnsi"/>
        </w:rPr>
        <w:fldChar w:fldCharType="begin"/>
      </w:r>
      <w:r w:rsidR="006722F5">
        <w:rPr>
          <w:rStyle w:val="IUCrbodytextChar"/>
          <w:rFonts w:eastAsiaTheme="minorHAnsi"/>
        </w:rPr>
        <w:instrText xml:space="preserve"> ADDIN ZOTERO_ITEM CSL_CITATION {"citationID":"iTdGDjTk","properties":{"formattedCitation":"(Tomasino &amp; Yoo, 2017)","plainCitation":"(Tomasino &amp; Yoo, 2017)","noteIndex":0},"citationItems":[{"id":"k3ssTldU/ZCGx9EfQ","uris":["http://zotero.org/users/local/uJBp8IoE/items/PSD585G7"],"uri":["http://zotero.org/users/local/uJBp8IoE/items/PSD585G7"],"itemData":{"id":386,"type":"article-journal","container-title":"AIP Conference Proceedings","DOI":"10.1063/1.4971558","ISSN":"0094-243X","issue":"1","note":"publisher: American Institute of Physics","page":"060002","source":"aip.scitation.org (Atypon)","title":"Time-resolved X-ray diffraction of Ti in dynamic-DAC","volume":"1793","author":[{"family":"Tomasino","given":"Dane"},{"family":"Yoo","given":"Choong-Shik"}],"issued":{"date-parts":[["2017",1,13]]}}}],"schema":"https://github.com/citation-style-language/schema/raw/master/csl-citation.json"} </w:instrText>
      </w:r>
      <w:r w:rsidRPr="00E61CE5">
        <w:rPr>
          <w:rStyle w:val="IUCrbodytextChar"/>
          <w:rFonts w:eastAsiaTheme="minorHAnsi"/>
        </w:rPr>
        <w:fldChar w:fldCharType="separate"/>
      </w:r>
      <w:r w:rsidRPr="004742BD">
        <w:rPr>
          <w:rStyle w:val="IUCrbodytextChar"/>
          <w:rFonts w:eastAsiaTheme="minorHAnsi"/>
        </w:rPr>
        <w:t>(Tomasino &amp; Yoo, 2017)</w:t>
      </w:r>
      <w:r w:rsidRPr="00E61CE5">
        <w:rPr>
          <w:rStyle w:val="IUCrbodytextChar"/>
          <w:rFonts w:eastAsiaTheme="minorHAnsi"/>
        </w:rPr>
        <w:fldChar w:fldCharType="end"/>
      </w:r>
      <w:r w:rsidRPr="004742BD">
        <w:rPr>
          <w:rStyle w:val="IUCrbodytextChar"/>
          <w:rFonts w:eastAsiaTheme="minorHAnsi"/>
        </w:rPr>
        <w:t>. Each of these factors, or combinations of them, can lead to a variation in the transition pressure from ~2 to 12 </w:t>
      </w:r>
      <w:proofErr w:type="spellStart"/>
      <w:r w:rsidRPr="004742BD">
        <w:rPr>
          <w:rStyle w:val="IUCrbodytextChar"/>
          <w:rFonts w:eastAsiaTheme="minorHAnsi"/>
        </w:rPr>
        <w:t>GPa</w:t>
      </w:r>
      <w:proofErr w:type="spellEnd"/>
      <w:r w:rsidRPr="004742BD">
        <w:rPr>
          <w:rStyle w:val="IUCrbodytextChar"/>
          <w:rFonts w:eastAsiaTheme="minorHAnsi"/>
        </w:rPr>
        <w:t xml:space="preserve">. In particular, the presence of non-hydrostatic stress shifts the phase boundary to lower pressures </w:t>
      </w:r>
      <w:r w:rsidRPr="00D342C2">
        <w:rPr>
          <w:rStyle w:val="IUCrbodytextChar"/>
          <w:rFonts w:eastAsiaTheme="minorHAnsi"/>
        </w:rPr>
        <w:fldChar w:fldCharType="begin"/>
      </w:r>
      <w:r w:rsidR="006722F5">
        <w:rPr>
          <w:rStyle w:val="IUCrbodytextChar"/>
          <w:rFonts w:eastAsiaTheme="minorHAnsi"/>
        </w:rPr>
        <w:instrText xml:space="preserve"> ADDIN ZOTERO_ITEM CSL_CITATION {"citationID":"zKlQNkZJ","properties":{"formattedCitation":"(Errandonea {\\i{}et al.}, 2005)","plainCitation":"(Errandonea et al., 2005)","noteIndex":0},"citationItems":[{"id":"k3ssTldU/fhfT6opf","uris":["http://zotero.org/users/local/uJBp8IoE/items/25W56SWU"],"uri":["http://zotero.org/users/local/uJBp8IoE/items/25W56SWU"],"itemData":{"id":"MaEc7TzS/UFWbQkX3","type":"article-journal","abstract":"The effects of uniaxial stress on the pressure-induced α→ω transition in pure titanium (Ti) are investigated by means of angle dispersive X-ray diffraction in a diamond-anvil cell. Experiments under four different pressure environments reveal that: (1) the onset of the transition depends on the pressure medium used, going from 4.9GPa (no pressure medium) to 10.5GPa (argon pressure medium); (2) the α and ω phases coexist over a rather large pressure range, which depends on the pressure medium employed; (3) the hysteresis and quenchability of the ω phase is affected by differences in the sample pressure environment; and (4) a short-term laser heating of Ti lowers the α→ω transition pressure. Possible transition mechanisms are discussed in the light of the present results, which clearly demonstrate the influence of uniaxial stress in the α→ω transition.","container-title":"Physica B: Condensed Matter","DOI":"10.1016/j.physb.2004.10.030","ISSN":"0921-4526","issue":"1","journalAbbreviation":"Physica B: Condensed Matter","language":"en","page":"116-125","source":"ScienceDirect","title":"Pressure-induced α→ω transition in titanium metal: a systematic study of the effects of uniaxial stress","title-short":"Pressure-induced α→ω transition in titanium metal","volume":"355","author":[{"family":"Errandonea","given":"Daniel"},{"family":"Meng","given":"Y."},{"family":"Somayazulu","given":"M."},{"family":"Häusermann","given":"D."}],"issued":{"date-parts":[["2005",1,31]]}}}],"schema":"https://github.com/citation-style-language/schema/raw/master/csl-citation.json"} </w:instrText>
      </w:r>
      <w:r w:rsidRPr="00D342C2">
        <w:rPr>
          <w:rStyle w:val="IUCrbodytextChar"/>
          <w:rFonts w:eastAsiaTheme="minorHAnsi"/>
        </w:rPr>
        <w:fldChar w:fldCharType="separate"/>
      </w:r>
      <w:r w:rsidRPr="000266C4">
        <w:t xml:space="preserve">(Errandonea </w:t>
      </w:r>
      <w:r w:rsidRPr="000266C4">
        <w:rPr>
          <w:i/>
          <w:iCs/>
        </w:rPr>
        <w:t>et al.</w:t>
      </w:r>
      <w:r w:rsidRPr="000266C4">
        <w:t>, 2005)</w:t>
      </w:r>
      <w:r w:rsidRPr="00D342C2">
        <w:rPr>
          <w:rStyle w:val="IUCrbodytextChar"/>
          <w:rFonts w:eastAsiaTheme="minorHAnsi"/>
        </w:rPr>
        <w:fldChar w:fldCharType="end"/>
      </w:r>
      <w:r w:rsidRPr="004742BD">
        <w:rPr>
          <w:rStyle w:val="IUCrbodytextChar"/>
          <w:rFonts w:eastAsiaTheme="minorHAnsi"/>
        </w:rPr>
        <w:t xml:space="preserve">, whereas compression rates ≥74 </w:t>
      </w:r>
      <w:proofErr w:type="spellStart"/>
      <w:r w:rsidRPr="004742BD">
        <w:rPr>
          <w:rStyle w:val="IUCrbodytextChar"/>
          <w:rFonts w:eastAsiaTheme="minorHAnsi"/>
        </w:rPr>
        <w:t>GPa</w:t>
      </w:r>
      <w:proofErr w:type="spellEnd"/>
      <w:r w:rsidRPr="004742BD">
        <w:rPr>
          <w:rStyle w:val="IUCrbodytextChar"/>
          <w:rFonts w:eastAsiaTheme="minorHAnsi"/>
        </w:rPr>
        <w:t>/s shift it to higher pressures</w:t>
      </w:r>
      <w:r>
        <w:rPr>
          <w:rStyle w:val="IUCrbodytextChar"/>
          <w:rFonts w:eastAsiaTheme="minorHAnsi"/>
        </w:rPr>
        <w:t xml:space="preserve"> </w:t>
      </w:r>
      <w:r>
        <w:rPr>
          <w:rStyle w:val="IUCrbodytextChar"/>
          <w:rFonts w:eastAsiaTheme="minorHAnsi"/>
        </w:rPr>
        <w:fldChar w:fldCharType="begin"/>
      </w:r>
      <w:r w:rsidR="006722F5">
        <w:rPr>
          <w:rStyle w:val="IUCrbodytextChar"/>
          <w:rFonts w:eastAsiaTheme="minorHAnsi"/>
        </w:rPr>
        <w:instrText xml:space="preserve"> ADDIN ZOTERO_ITEM CSL_CITATION {"citationID":"3d89XqUj","properties":{"formattedCitation":"(Tomasino &amp; Yoo, 2017)","plainCitation":"(Tomasino &amp; Yoo, 2017)","noteIndex":0},"citationItems":[{"id":"k3ssTldU/ZCGx9EfQ","uris":["http://zotero.org/users/local/uJBp8IoE/items/PSD585G7"],"uri":["http://zotero.org/users/local/uJBp8IoE/items/PSD585G7"],"itemData":{"id":"HZsLc5qE/aZ2SFv2C","type":"article-journal","container-title":"AIP Conference Proceedings","DOI":"10.1063/1.4971558","ISSN":"0094-243X","issue":"1","note":"publisher: American Institute of Physics","page":"060002","source":"aip.scitation.org (Atypon)","title":"Time-resolved X-ray diffraction of Ti in dynamic-DAC","volume":"1793","author":[{"family":"Tomasino","given":"Dane"},{"family":"Yoo","given":"Choong-Shik"}],"issued":{"date-parts":[["2017",1,13]]}}}],"schema":"https://github.com/citation-style-language/schema/raw/master/csl-citation.json"} </w:instrText>
      </w:r>
      <w:r>
        <w:rPr>
          <w:rStyle w:val="IUCrbodytextChar"/>
          <w:rFonts w:eastAsiaTheme="minorHAnsi"/>
        </w:rPr>
        <w:fldChar w:fldCharType="separate"/>
      </w:r>
      <w:r w:rsidRPr="00FC1152">
        <w:t>(Tomasino &amp; Yoo, 2017)</w:t>
      </w:r>
      <w:r>
        <w:rPr>
          <w:rStyle w:val="IUCrbodytextChar"/>
          <w:rFonts w:eastAsiaTheme="minorHAnsi"/>
        </w:rPr>
        <w:fldChar w:fldCharType="end"/>
      </w:r>
      <w:r w:rsidRPr="004742BD">
        <w:rPr>
          <w:rStyle w:val="IUCrbodytextChar"/>
          <w:rFonts w:eastAsiaTheme="minorHAnsi"/>
        </w:rPr>
        <w:t xml:space="preserve">. The transition is sluggish in all cases, and </w:t>
      </w:r>
      <w:r w:rsidRPr="00E61CE5">
        <w:rPr>
          <w:rStyle w:val="IUCrbodytextChar"/>
          <w:rFonts w:eastAsiaTheme="minorHAnsi"/>
        </w:rPr>
        <w:t>α</w:t>
      </w:r>
      <w:r w:rsidRPr="004742BD">
        <w:rPr>
          <w:rStyle w:val="IUCrbodytextChar"/>
          <w:rFonts w:eastAsiaTheme="minorHAnsi"/>
        </w:rPr>
        <w:t xml:space="preserve">- and </w:t>
      </w:r>
      <w:r w:rsidRPr="00E61CE5">
        <w:rPr>
          <w:rStyle w:val="IUCrbodytextChar"/>
          <w:rFonts w:eastAsiaTheme="minorHAnsi"/>
        </w:rPr>
        <w:t>ω</w:t>
      </w:r>
      <w:r w:rsidRPr="004742BD">
        <w:rPr>
          <w:rStyle w:val="IUCrbodytextChar"/>
          <w:rFonts w:eastAsiaTheme="minorHAnsi"/>
        </w:rPr>
        <w:t>-</w:t>
      </w:r>
      <w:proofErr w:type="spellStart"/>
      <w:r w:rsidRPr="004742BD">
        <w:rPr>
          <w:rStyle w:val="IUCrbodytextChar"/>
          <w:rFonts w:eastAsiaTheme="minorHAnsi"/>
        </w:rPr>
        <w:t>Ti</w:t>
      </w:r>
      <w:proofErr w:type="spellEnd"/>
      <w:r w:rsidRPr="004742BD">
        <w:rPr>
          <w:rStyle w:val="IUCrbodytextChar"/>
          <w:rFonts w:eastAsiaTheme="minorHAnsi"/>
        </w:rPr>
        <w:t xml:space="preserve"> coexist over a wide pressure range</w:t>
      </w:r>
      <w:r>
        <w:rPr>
          <w:rStyle w:val="IUCrbodytextChar"/>
          <w:rFonts w:eastAsiaTheme="minorHAnsi"/>
        </w:rPr>
        <w:t xml:space="preserve"> of 12 to ~17 </w:t>
      </w:r>
      <w:proofErr w:type="spellStart"/>
      <w:r>
        <w:rPr>
          <w:rStyle w:val="IUCrbodytextChar"/>
          <w:rFonts w:eastAsiaTheme="minorHAnsi"/>
        </w:rPr>
        <w:t>GPa</w:t>
      </w:r>
      <w:proofErr w:type="spellEnd"/>
      <w:r w:rsidRPr="004742BD">
        <w:rPr>
          <w:rStyle w:val="IUCrbodytextChar"/>
          <w:rFonts w:eastAsiaTheme="minorHAnsi"/>
        </w:rPr>
        <w:t>.</w:t>
      </w:r>
      <w:r w:rsidRPr="004742BD">
        <w:t xml:space="preserve"> The experiment described here was focused on the influence of compression rate on the </w:t>
      </w:r>
      <w:r>
        <w:t>α</w:t>
      </w:r>
      <w:r w:rsidRPr="004742BD">
        <w:t>-</w:t>
      </w:r>
      <w:r>
        <w:t>ω</w:t>
      </w:r>
      <w:r w:rsidRPr="004742BD">
        <w:t xml:space="preserve"> phase transition pressure in </w:t>
      </w:r>
      <w:proofErr w:type="spellStart"/>
      <w:r w:rsidRPr="004742BD">
        <w:t>Ti</w:t>
      </w:r>
      <w:proofErr w:type="spellEnd"/>
      <w:r w:rsidRPr="004742BD">
        <w:t xml:space="preserve"> loaded without a PTM. </w:t>
      </w:r>
      <w:bookmarkStart w:id="19" w:name="_Hlk127434398"/>
      <w:r w:rsidRPr="004742BD">
        <w:t xml:space="preserve">This highlights the unique </w:t>
      </w:r>
      <w:r w:rsidRPr="000C1F53">
        <w:t xml:space="preserve">feature of the </w:t>
      </w:r>
      <w:proofErr w:type="spellStart"/>
      <w:r w:rsidRPr="000C1F53">
        <w:t>dDAC</w:t>
      </w:r>
      <w:proofErr w:type="spellEnd"/>
      <w:r w:rsidRPr="000C1F53">
        <w:t xml:space="preserve">, which is that the stress state of the sample can be varied through the </w:t>
      </w:r>
      <w:r>
        <w:t>use</w:t>
      </w:r>
      <w:r w:rsidRPr="000C1F53">
        <w:t xml:space="preserve"> (or absence) of a PTM. </w:t>
      </w:r>
    </w:p>
    <w:bookmarkEnd w:id="19"/>
    <w:p w14:paraId="6F938A23" w14:textId="0640149F" w:rsidR="00A20AFF" w:rsidRDefault="00A20AFF" w:rsidP="00A20AFF">
      <w:pPr>
        <w:pStyle w:val="IUCrbodytext"/>
      </w:pPr>
      <w:r>
        <w:t>A high purity</w:t>
      </w:r>
      <w:r w:rsidRPr="000C1F53">
        <w:t xml:space="preserve"> </w:t>
      </w:r>
      <w:proofErr w:type="spellStart"/>
      <w:r w:rsidRPr="000C1F53">
        <w:t>Ti</w:t>
      </w:r>
      <w:proofErr w:type="spellEnd"/>
      <w:r w:rsidRPr="000C1F53">
        <w:t xml:space="preserve"> sample </w:t>
      </w:r>
      <w:r>
        <w:t>(</w:t>
      </w:r>
      <w:r w:rsidRPr="00E0523C">
        <w:t xml:space="preserve">impurities (by weight): </w:t>
      </w:r>
      <w:r w:rsidRPr="00E0523C">
        <w:rPr>
          <w:color w:val="000000"/>
        </w:rPr>
        <w:t>360 ppm O, 60 ppm C, 10 ppm N, 14 ppm H, 4 ppm Al, 3 ppm V, and 5 ppm Fe</w:t>
      </w:r>
      <w:r>
        <w:rPr>
          <w:color w:val="000000"/>
        </w:rPr>
        <w:t xml:space="preserve"> </w:t>
      </w:r>
      <w:r>
        <w:rPr>
          <w:color w:val="000000"/>
        </w:rPr>
        <w:fldChar w:fldCharType="begin"/>
      </w:r>
      <w:r>
        <w:rPr>
          <w:color w:val="000000"/>
        </w:rPr>
        <w:instrText xml:space="preserve"> ADDIN ZOTERO_ITEM CSL_CITATION {"citationID":"xAbtD22R","properties":{"formattedCitation":"(Velisavljevic {\\i{}et al.}, 2014)","plainCitation":"(Velisavljevic et al., 2014)","noteIndex":0},"citationItems":[{"id":69,"uris":["http://zotero.org/users/local/dwaXvkNj/items/97CLLL7M"],"uri":["http://zotero.org/users/local/dwaXvkNj/items/97CLLL7M"],"itemData":{"id":69,"type":"article-journal","title":"Structural phase stability in nanocrystalline titanium to 161 GPa","container-title":"Materials Research Express","page":"035044","volume":"1","issue":"3","source":"Institute of Physics","abstract":"Nanocrystalline titanium (nc-Ti) metal was investigated up to 161 GPa at room temperature using a diamond anvil cell. X-ray diffraction and electrical resistance techniques were used to investigate the compressibility and structural phase stability. nc-Ti is observed to undergo three structural phase transitions at high pressures, starting with at 10 GPa and followed by at 127 GPa and at 140 GPa. The observed structural phase transitions, as well as compressibility, are consistent with previously reported values for coarse grained Ti (c-Ti). The high pressure experiments on nc-Ti samples do no show any significant variation of the transition pressure under varying non-hydrostatic conditions. This is in sharp contrast to c-Ti, where a significant decrease in the transition pressure is observed under increasing non-hydrostatic conditions. This would indicate that the decrease in grain size in nano grained titanium makes the phase transition less sensitive to shear stresses as compared to bulk or c-Ti.","DOI":"10.1088/2053-1591/1/3/035044","ISSN":"2053-1591","journalAbbreviation":"Mater. Res. Express","language":"en","author":[{"family":"Velisavljevic","given":"Nenad"},{"family":"Jacobsen","given":"Matthew K."},{"family":"Vohra","given":"Yogesh K."}],"issued":{"date-parts":[["2014",9]]}}}],"schema":"https://github.com/citation-style-language/schema/raw/master/csl-citation.json"} </w:instrText>
      </w:r>
      <w:r>
        <w:rPr>
          <w:color w:val="000000"/>
        </w:rPr>
        <w:fldChar w:fldCharType="separate"/>
      </w:r>
      <w:r w:rsidRPr="00BE653C">
        <w:t xml:space="preserve">(Velisavljevic </w:t>
      </w:r>
      <w:r w:rsidRPr="00BE653C">
        <w:rPr>
          <w:i/>
          <w:iCs/>
        </w:rPr>
        <w:t>et al.</w:t>
      </w:r>
      <w:r w:rsidRPr="00BE653C">
        <w:t>, 2014)</w:t>
      </w:r>
      <w:r>
        <w:rPr>
          <w:color w:val="000000"/>
        </w:rPr>
        <w:fldChar w:fldCharType="end"/>
      </w:r>
      <w:r>
        <w:rPr>
          <w:color w:val="000000"/>
        </w:rPr>
        <w:t>)</w:t>
      </w:r>
      <w:r w:rsidRPr="000C1F53">
        <w:t xml:space="preserve"> was loaded into a symmetric DAC equipped with 300 µm culet</w:t>
      </w:r>
      <w:r>
        <w:t xml:space="preserve"> diamonds</w:t>
      </w:r>
      <w:r w:rsidRPr="00BE653C">
        <w:rPr>
          <w:color w:val="000000"/>
        </w:rPr>
        <w:t xml:space="preserve">. </w:t>
      </w:r>
      <w:r w:rsidRPr="000C1F53">
        <w:t xml:space="preserve">A </w:t>
      </w:r>
      <w:proofErr w:type="gramStart"/>
      <w:r w:rsidRPr="000C1F53">
        <w:t>stainless steel</w:t>
      </w:r>
      <w:proofErr w:type="gramEnd"/>
      <w:r w:rsidRPr="000C1F53">
        <w:t xml:space="preserve"> gasket with a 22 µm thick</w:t>
      </w:r>
      <w:r w:rsidRPr="00277D5D">
        <w:t xml:space="preserve">, 150 µm diameter gasket hole was used, and </w:t>
      </w:r>
      <w:proofErr w:type="spellStart"/>
      <w:r w:rsidRPr="00277D5D">
        <w:t>LiF</w:t>
      </w:r>
      <w:proofErr w:type="spellEnd"/>
      <w:r w:rsidRPr="00277D5D">
        <w:t xml:space="preserve"> and </w:t>
      </w:r>
      <w:proofErr w:type="spellStart"/>
      <w:r w:rsidRPr="00277D5D">
        <w:t>cBN</w:t>
      </w:r>
      <w:proofErr w:type="spellEnd"/>
      <w:r w:rsidRPr="00277D5D">
        <w:t xml:space="preserve"> were added to the sample chamber as internal pressure standards. Screening data collected at P02.2 confirmed that </w:t>
      </w:r>
      <w:proofErr w:type="spellStart"/>
      <w:r w:rsidRPr="00277D5D">
        <w:t>Ti</w:t>
      </w:r>
      <w:proofErr w:type="spellEnd"/>
      <w:r w:rsidRPr="00277D5D">
        <w:t xml:space="preserve"> was in the α-</w:t>
      </w:r>
      <w:proofErr w:type="spellStart"/>
      <w:r w:rsidRPr="00277D5D">
        <w:t>Ti</w:t>
      </w:r>
      <w:proofErr w:type="spellEnd"/>
      <w:r w:rsidRPr="00277D5D">
        <w:t xml:space="preserve"> phase, and the sample pressure was estimated</w:t>
      </w:r>
      <w:r w:rsidRPr="004742BD">
        <w:t xml:space="preserve"> to be 0.3 </w:t>
      </w:r>
      <w:proofErr w:type="spellStart"/>
      <w:r w:rsidRPr="004742BD">
        <w:t>GPa</w:t>
      </w:r>
      <w:proofErr w:type="spellEnd"/>
      <w:r w:rsidRPr="004742BD">
        <w:t xml:space="preserve"> based on </w:t>
      </w:r>
      <w:proofErr w:type="spellStart"/>
      <w:r w:rsidRPr="004742BD">
        <w:t>cBN</w:t>
      </w:r>
      <w:proofErr w:type="spellEnd"/>
      <w:r w:rsidRPr="004742BD">
        <w:t xml:space="preserve"> </w:t>
      </w:r>
      <w:r w:rsidRPr="0002548A">
        <w:rPr>
          <w:rFonts w:eastAsia="Arial"/>
        </w:rPr>
        <w:fldChar w:fldCharType="begin"/>
      </w:r>
      <w:r>
        <w:rPr>
          <w:rFonts w:eastAsia="Arial"/>
        </w:rPr>
        <w:instrText xml:space="preserve"> ADDIN ZOTERO_ITEM CSL_CITATION {"citationID":"sZj1AY2E","properties":{"formattedCitation":"(Goncharov {\\i{}et al.}, 2007)","plainCitation":"(Goncharov et al., 2007)","noteIndex":0},"citationItems":[{"id":53,"uris":["http://zotero.org/users/local/dwaXvkNj/items/66D2I9N5"],"uri":["http://zotero.org/users/local/dwaXvkNj/items/66D2I9N5"],"itemData":{"id":53,"type":"article-journal","title":"Thermal equation of state of cubic boron nitride: Implications for a high-temperature pressure scale","container-title":"Physical Review B","page":"224114","volume":"75","issue":"22","source":"APS","abstract":"The equation of state of cubic boron nitride (cBN) has been determined to a maximum temperature of 3300K at a simultaneous static pressure of up to more than 70GPa. Ab initio calculations to 80GPa and 2000K have also been performed. Our experimental data can be reconciled with theoretical results and with the known thermal expansion at 1bar if we assume a small increase in pressure during heating relative to that measured at ambient temperature. The present data combined with the Raman measurements we presented earlier form the basis of a high-temperature pressure scale that is good to at least 3300K.","DOI":"10.1103/PhysRevB.75.224114","shortTitle":"Thermal equation of state of cubic boron nitride","journalAbbreviation":"Phys. Rev. B","author":[{"family":"Goncharov","given":"Alexander F."},{"family":"Crowhurst","given":"Jonathan C."},{"family":"Dewhurst","given":"John K."},{"family":"Sharma","given":"Sangeeta"},{"family":"Sanloup","given":"Chrystele"},{"family":"Gregoryanz","given":"Eugene"},{"family":"Guignot","given":"Nicolas"},{"family":"Mezouar","given":"Mohamed"}],"issued":{"date-parts":[["2007",6,21]]}}}],"schema":"https://github.com/citation-style-language/schema/raw/master/csl-citation.json"} </w:instrText>
      </w:r>
      <w:r w:rsidRPr="0002548A">
        <w:rPr>
          <w:rFonts w:eastAsia="Arial"/>
        </w:rPr>
        <w:fldChar w:fldCharType="separate"/>
      </w:r>
      <w:r w:rsidRPr="00BE653C">
        <w:t xml:space="preserve">(Goncharov </w:t>
      </w:r>
      <w:r w:rsidRPr="00BE653C">
        <w:rPr>
          <w:i/>
          <w:iCs/>
        </w:rPr>
        <w:t>et al.</w:t>
      </w:r>
      <w:r w:rsidRPr="00BE653C">
        <w:t>, 2007)</w:t>
      </w:r>
      <w:r w:rsidRPr="0002548A">
        <w:rPr>
          <w:rFonts w:eastAsia="Arial"/>
        </w:rPr>
        <w:fldChar w:fldCharType="end"/>
      </w:r>
      <w:r w:rsidRPr="004742BD">
        <w:rPr>
          <w:rFonts w:eastAsia="Arial"/>
        </w:rPr>
        <w:t xml:space="preserve"> and 0 </w:t>
      </w:r>
      <w:proofErr w:type="spellStart"/>
      <w:r w:rsidRPr="004742BD">
        <w:rPr>
          <w:rFonts w:eastAsia="Arial"/>
        </w:rPr>
        <w:t>GPa</w:t>
      </w:r>
      <w:proofErr w:type="spellEnd"/>
      <w:r w:rsidRPr="004742BD">
        <w:rPr>
          <w:rFonts w:eastAsia="Arial"/>
        </w:rPr>
        <w:t xml:space="preserve"> based on </w:t>
      </w:r>
      <w:proofErr w:type="spellStart"/>
      <w:r w:rsidRPr="004742BD">
        <w:rPr>
          <w:rFonts w:eastAsia="Arial"/>
        </w:rPr>
        <w:t>Ti</w:t>
      </w:r>
      <w:proofErr w:type="spellEnd"/>
      <w:r w:rsidRPr="004742BD">
        <w:rPr>
          <w:rFonts w:eastAsia="Arial"/>
        </w:rPr>
        <w:t xml:space="preserve"> </w:t>
      </w:r>
      <w:r w:rsidRPr="0002548A">
        <w:rPr>
          <w:rFonts w:eastAsia="Arial"/>
        </w:rPr>
        <w:fldChar w:fldCharType="begin"/>
      </w:r>
      <w:r w:rsidR="00491DFC">
        <w:rPr>
          <w:rFonts w:eastAsia="Arial"/>
        </w:rPr>
        <w:instrText xml:space="preserve"> ADDIN ZOTERO_ITEM CSL_CITATION {"citationID":"yVooIElG","properties":{"formattedCitation":"(Zhang {\\i{}et al.}, 2008{\\i{}b})","plainCitation":"(Zhang et al., 2008b)","noteIndex":0},"citationItems":[{"id":"GMxW0Csb/iqf0dwb8","uris":["http://zotero.org/users/local/uJBp8IoE/items/4NZK9K8V"],"uri":["http://zotero.org/users/local/uJBp8IoE/items/4NZK9K8V"],"itemData":{"id":378,"type":"article-journal","abstract":"We have conducted in situ high-pressure diffraction experiments on titanium metal at pressures up to 8.2 GPa and temperatures up to 900 K. From the pressure (P)-volume (V)-temperature (T) measurements, thermoelastic parameters were derived for α titanium based on a modified high-T Birch-Murnaghan equation of state and a thermal pressure approach. With the pressure derivative of the bulk modulus, K′0, fixed at 4.0, we obtained: ambient bulk modulus K0=114(3) GPa, temperature derivative of bulk modulus at constant pressure (∂K/∂T)P=−1.1(7)×10−2 GPa K−1 and at constant volume (∂K/∂T)V=−9.0×10−4 GPa K−1, volumetric thermal expansivity αT=a+bT with a=1.2(±0.6)×10−5 K−1 and b=2.5(±1.1)×10−8 K−2, and the pressure derivative of thermal expansion (∂α/∂P)T=−8.5×10−7 GPa−1 K−1. The ambient bulk modulus and volumetric thermal expansion derived from this work are in good agreement with previous experimental results, whereas all other thermoelastic parameters represent the first determinations for the α phase of titanium. For the ω-phase Ti, we obtained K0=107(3) GPa and volumetric thermal expansivity at 8.1 GPa αT=a+bT with a=6.5(±3.5)×10−6 K−1 and b=2.8(±0.6)×10−8 K−2. Within the experimental uncertainties, the c/a ratios for α-Ti at both room and high temperatures remain constant over the experimental pressures up to 7.8 GPa, presenting a case against the isotropic force potential used in some theoretical modeling for hcp metals under high pressures.","container-title":"Physical Review B","DOI":"10.1103/PhysRevB.78.054119","issue":"5","journalAbbreviation":"Phys. Rev. B","note":"publisher: American Physical Society","page":"054119","source":"APS","title":"Thermal equations of state for titanium obtained by high pressure---temperature diffraction studies","volume":"78","author":[{"family":"Zhang","given":"Jianzhong"},{"family":"Zhao","given":"Yusheng"},{"family":"Hixson","given":"Robert S."},{"family":"Gray","given":"George T."},{"family":"Wang","given":"Liping"},{"family":"Utsumi","given":"Wataru"},{"family":"Hiroyuki","given":"Saito"},{"family":"Takanori","given":"Hattori"}],"issued":{"date-parts":[["2008",8,22]]}}}],"schema":"https://github.com/citation-style-language/schema/raw/master/csl-citation.json"} </w:instrText>
      </w:r>
      <w:r w:rsidRPr="0002548A">
        <w:rPr>
          <w:rFonts w:eastAsia="Arial"/>
        </w:rPr>
        <w:fldChar w:fldCharType="separate"/>
      </w:r>
      <w:r w:rsidRPr="000266C4">
        <w:t xml:space="preserve">(Zhang </w:t>
      </w:r>
      <w:r w:rsidRPr="000266C4">
        <w:rPr>
          <w:i/>
          <w:iCs/>
        </w:rPr>
        <w:t>et al.</w:t>
      </w:r>
      <w:r w:rsidRPr="000266C4">
        <w:t>, 2008</w:t>
      </w:r>
      <w:r w:rsidRPr="000266C4">
        <w:rPr>
          <w:i/>
          <w:iCs/>
        </w:rPr>
        <w:t>b</w:t>
      </w:r>
      <w:r w:rsidRPr="000266C4">
        <w:t>)</w:t>
      </w:r>
      <w:r w:rsidRPr="0002548A">
        <w:rPr>
          <w:rFonts w:eastAsia="Arial"/>
        </w:rPr>
        <w:fldChar w:fldCharType="end"/>
      </w:r>
      <w:r w:rsidRPr="0002548A">
        <w:t xml:space="preserve">. </w:t>
      </w:r>
      <w:r>
        <w:t xml:space="preserve">No diffraction signal from </w:t>
      </w:r>
      <w:proofErr w:type="spellStart"/>
      <w:r>
        <w:t>LiF</w:t>
      </w:r>
      <w:proofErr w:type="spellEnd"/>
      <w:r>
        <w:t xml:space="preserve"> was observed.</w:t>
      </w:r>
    </w:p>
    <w:p w14:paraId="0A275887" w14:textId="2A64A90B" w:rsidR="00A20AFF" w:rsidRPr="004742BD" w:rsidRDefault="00A20AFF" w:rsidP="00A20AFF">
      <w:pPr>
        <w:pStyle w:val="IUCrbodytext"/>
        <w:rPr>
          <w:color w:val="000000"/>
        </w:rPr>
      </w:pPr>
      <w:r w:rsidRPr="004742BD">
        <w:t>A series of 216 XFEL diffraction images collected at 3</w:t>
      </w:r>
      <w:r w:rsidRPr="004742BD">
        <w:rPr>
          <w:color w:val="000000" w:themeColor="text1"/>
        </w:rPr>
        <w:t xml:space="preserve">% </w:t>
      </w:r>
      <w:r>
        <w:rPr>
          <w:color w:val="000000" w:themeColor="text1"/>
        </w:rPr>
        <w:t xml:space="preserve">X-ray </w:t>
      </w:r>
      <w:r w:rsidRPr="004742BD">
        <w:rPr>
          <w:color w:val="000000" w:themeColor="text1"/>
        </w:rPr>
        <w:t>transmission (7</w:t>
      </w:r>
      <w:r>
        <w:rPr>
          <w:color w:val="000000" w:themeColor="text1"/>
        </w:rPr>
        <w:t xml:space="preserve"> </w:t>
      </w:r>
      <w:r>
        <w:rPr>
          <w:szCs w:val="20"/>
        </w:rPr>
        <w:t xml:space="preserve">± </w:t>
      </w:r>
      <w:r w:rsidRPr="004742BD">
        <w:rPr>
          <w:color w:val="000000" w:themeColor="text1"/>
        </w:rPr>
        <w:t xml:space="preserve">3 µJ) prior to compression </w:t>
      </w:r>
      <w:r w:rsidRPr="004742BD">
        <w:rPr>
          <w:rStyle w:val="IUCrbodytextChar"/>
          <w:rFonts w:eastAsiaTheme="minorHAnsi"/>
        </w:rPr>
        <w:t xml:space="preserve">determined a pressure of 0.4 </w:t>
      </w:r>
      <w:proofErr w:type="spellStart"/>
      <w:r w:rsidRPr="004742BD">
        <w:rPr>
          <w:rStyle w:val="IUCrbodytextChar"/>
          <w:rFonts w:eastAsiaTheme="minorHAnsi"/>
        </w:rPr>
        <w:t>GPa</w:t>
      </w:r>
      <w:proofErr w:type="spellEnd"/>
      <w:r w:rsidRPr="004742BD">
        <w:rPr>
          <w:rStyle w:val="IUCrbodytextChar"/>
          <w:rFonts w:eastAsiaTheme="minorHAnsi"/>
        </w:rPr>
        <w:t xml:space="preserve"> from </w:t>
      </w:r>
      <w:r w:rsidRPr="0002548A">
        <w:rPr>
          <w:rStyle w:val="IUCrbodytextChar"/>
          <w:rFonts w:eastAsiaTheme="minorHAnsi"/>
        </w:rPr>
        <w:t>α</w:t>
      </w:r>
      <w:r w:rsidRPr="004742BD">
        <w:rPr>
          <w:rStyle w:val="IUCrbodytextChar"/>
          <w:rFonts w:eastAsiaTheme="minorHAnsi"/>
        </w:rPr>
        <w:t>-</w:t>
      </w:r>
      <w:proofErr w:type="spellStart"/>
      <w:r w:rsidRPr="004742BD">
        <w:rPr>
          <w:rStyle w:val="IUCrbodytextChar"/>
          <w:rFonts w:eastAsiaTheme="minorHAnsi"/>
        </w:rPr>
        <w:t>Ti</w:t>
      </w:r>
      <w:proofErr w:type="spellEnd"/>
      <w:r w:rsidRPr="004742BD">
        <w:rPr>
          <w:rStyle w:val="IUCrbodytextChar"/>
          <w:rFonts w:eastAsiaTheme="minorHAnsi"/>
        </w:rPr>
        <w:t xml:space="preserve">. No </w:t>
      </w:r>
      <w:proofErr w:type="spellStart"/>
      <w:r w:rsidRPr="004742BD">
        <w:rPr>
          <w:rStyle w:val="IUCrbodytextChar"/>
          <w:rFonts w:eastAsiaTheme="minorHAnsi"/>
        </w:rPr>
        <w:t>LiF</w:t>
      </w:r>
      <w:proofErr w:type="spellEnd"/>
      <w:r w:rsidRPr="004742BD">
        <w:rPr>
          <w:rStyle w:val="IUCrbodytextChar"/>
          <w:rFonts w:eastAsiaTheme="minorHAnsi"/>
        </w:rPr>
        <w:t xml:space="preserve"> reflections were visible in the patterns but several intense, single-crystal like reflections were observed from </w:t>
      </w:r>
      <w:proofErr w:type="spellStart"/>
      <w:r w:rsidRPr="004742BD">
        <w:rPr>
          <w:rStyle w:val="IUCrbodytextChar"/>
          <w:rFonts w:eastAsiaTheme="minorHAnsi"/>
        </w:rPr>
        <w:t>cBN</w:t>
      </w:r>
      <w:proofErr w:type="spellEnd"/>
      <w:r w:rsidRPr="004742BD">
        <w:rPr>
          <w:rStyle w:val="IUCrbodytextChar"/>
          <w:rFonts w:eastAsiaTheme="minorHAnsi"/>
        </w:rPr>
        <w:t xml:space="preserve">, which </w:t>
      </w:r>
      <w:r>
        <w:rPr>
          <w:rStyle w:val="IUCrbodytextChar"/>
          <w:rFonts w:eastAsiaTheme="minorHAnsi"/>
        </w:rPr>
        <w:t>corresponds to</w:t>
      </w:r>
      <w:r w:rsidRPr="004742BD">
        <w:rPr>
          <w:rStyle w:val="IUCrbodytextChar"/>
          <w:rFonts w:eastAsiaTheme="minorHAnsi"/>
        </w:rPr>
        <w:t xml:space="preserve"> a pressure of 0.3 </w:t>
      </w:r>
      <w:proofErr w:type="spellStart"/>
      <w:r w:rsidRPr="004742BD">
        <w:rPr>
          <w:rStyle w:val="IUCrbodytextChar"/>
          <w:rFonts w:eastAsiaTheme="minorHAnsi"/>
        </w:rPr>
        <w:t>GPa</w:t>
      </w:r>
      <w:proofErr w:type="spellEnd"/>
      <w:r>
        <w:rPr>
          <w:rStyle w:val="IUCrbodytextChar"/>
          <w:rFonts w:eastAsiaTheme="minorHAnsi"/>
        </w:rPr>
        <w:t xml:space="preserve"> </w:t>
      </w:r>
      <w:r w:rsidRPr="0002548A">
        <w:rPr>
          <w:rFonts w:eastAsia="Arial"/>
        </w:rPr>
        <w:fldChar w:fldCharType="begin"/>
      </w:r>
      <w:r>
        <w:rPr>
          <w:rFonts w:eastAsia="Arial"/>
        </w:rPr>
        <w:instrText xml:space="preserve"> ADDIN ZOTERO_ITEM CSL_CITATION {"citationID":"iE6jt6Y6","properties":{"formattedCitation":"(Goncharov {\\i{}et al.}, 2007)","plainCitation":"(Goncharov et al., 2007)","noteIndex":0},"citationItems":[{"id":53,"uris":["http://zotero.org/users/local/dwaXvkNj/items/66D2I9N5"],"uri":["http://zotero.org/users/local/dwaXvkNj/items/66D2I9N5"],"itemData":{"id":53,"type":"article-journal","title":"Thermal equation of state of cubic boron nitride: Implications for a high-temperature pressure scale","container-title":"Physical Review B","page":"224114","volume":"75","issue":"22","source":"APS","abstract":"The equation of state of cubic boron nitride (cBN) has been determined to a maximum temperature of 3300K at a simultaneous static pressure of up to more than 70GPa. Ab initio calculations to 80GPa and 2000K have also been performed. Our experimental data can be reconciled with theoretical results and with the known thermal expansion at 1bar if we assume a small increase in pressure during heating relative to that measured at ambient temperature. The present data combined with the Raman measurements we presented earlier form the basis of a high-temperature pressure scale that is good to at least 3300K.","DOI":"10.1103/PhysRevB.75.224114","shortTitle":"Thermal equation of state of cubic boron nitride","journalAbbreviation":"Phys. Rev. B","author":[{"family":"Goncharov","given":"Alexander F."},{"family":"Crowhurst","given":"Jonathan C."},{"family":"Dewhurst","given":"John K."},{"family":"Sharma","given":"Sangeeta"},{"family":"Sanloup","given":"Chrystele"},{"family":"Gregoryanz","given":"Eugene"},{"family":"Guignot","given":"Nicolas"},{"family":"Mezouar","given":"Mohamed"}],"issued":{"date-parts":[["2007",6,21]]}}}],"schema":"https://github.com/citation-style-language/schema/raw/master/csl-citation.json"} </w:instrText>
      </w:r>
      <w:r w:rsidRPr="0002548A">
        <w:rPr>
          <w:rFonts w:eastAsia="Arial"/>
        </w:rPr>
        <w:fldChar w:fldCharType="separate"/>
      </w:r>
      <w:r w:rsidRPr="00BE653C">
        <w:t xml:space="preserve">(Goncharov </w:t>
      </w:r>
      <w:r w:rsidRPr="00BE653C">
        <w:rPr>
          <w:i/>
          <w:iCs/>
        </w:rPr>
        <w:t>et al.</w:t>
      </w:r>
      <w:r w:rsidRPr="00BE653C">
        <w:t>, 2007)</w:t>
      </w:r>
      <w:r w:rsidRPr="0002548A">
        <w:rPr>
          <w:rFonts w:eastAsia="Arial"/>
        </w:rPr>
        <w:fldChar w:fldCharType="end"/>
      </w:r>
      <w:r w:rsidRPr="004742BD">
        <w:rPr>
          <w:rStyle w:val="IUCrbodytextChar"/>
          <w:rFonts w:eastAsiaTheme="minorHAnsi"/>
        </w:rPr>
        <w:t xml:space="preserve">. The temperature increase during the run was estimated to be ~400 K based on the thermal expansion of </w:t>
      </w:r>
      <w:proofErr w:type="spellStart"/>
      <w:r w:rsidRPr="004742BD">
        <w:rPr>
          <w:rStyle w:val="IUCrbodytextChar"/>
          <w:rFonts w:eastAsiaTheme="minorHAnsi"/>
        </w:rPr>
        <w:t>cBN</w:t>
      </w:r>
      <w:proofErr w:type="spellEnd"/>
      <w:r w:rsidRPr="004742BD">
        <w:rPr>
          <w:rStyle w:val="IUCrbodytextChar"/>
          <w:rFonts w:eastAsiaTheme="minorHAnsi"/>
        </w:rPr>
        <w:t xml:space="preserve"> </w:t>
      </w:r>
      <w:r w:rsidRPr="0002548A">
        <w:rPr>
          <w:rStyle w:val="IUCrbodytextChar"/>
          <w:rFonts w:eastAsiaTheme="minorHAnsi"/>
        </w:rPr>
        <w:fldChar w:fldCharType="begin"/>
      </w:r>
      <w:r>
        <w:rPr>
          <w:rStyle w:val="IUCrbodytextChar"/>
          <w:rFonts w:eastAsiaTheme="minorHAnsi"/>
        </w:rPr>
        <w:instrText xml:space="preserve"> ADDIN ZOTERO_ITEM CSL_CITATION {"citationID":"yhfy9LkO","properties":{"formattedCitation":"(Goncharov {\\i{}et al.}, 2007)","plainCitation":"(Goncharov et al., 2007)","noteIndex":0},"citationItems":[{"id":53,"uris":["http://zotero.org/users/local/dwaXvkNj/items/66D2I9N5"],"uri":["http://zotero.org/users/local/dwaXvkNj/items/66D2I9N5"],"itemData":{"id":53,"type":"article-journal","title":"Thermal equation of state of cubic boron nitride: Implications for a high-temperature pressure scale","container-title":"Physical Review B","page":"224114","volume":"75","issue":"22","source":"APS","abstract":"The equation of state of cubic boron nitride (cBN) has been determined to a maximum temperature of 3300K at a simultaneous static pressure of up to more than 70GPa. Ab initio calculations to 80GPa and 2000K have also been performed. Our experimental data can be reconciled with theoretical results and with the known thermal expansion at 1bar if we assume a small increase in pressure during heating relative to that measured at ambient temperature. The present data combined with the Raman measurements we presented earlier form the basis of a high-temperature pressure scale that is good to at least 3300K.","DOI":"10.1103/PhysRevB.75.224114","shortTitle":"Thermal equation of state of cubic boron nitride","journalAbbreviation":"Phys. Rev. B","author":[{"family":"Goncharov","given":"Alexander F."},{"family":"Crowhurst","given":"Jonathan C."},{"family":"Dewhurst","given":"John K."},{"family":"Sharma","given":"Sangeeta"},{"family":"Sanloup","given":"Chrystele"},{"family":"Gregoryanz","given":"Eugene"},{"family":"Guignot","given":"Nicolas"},{"family":"Mezouar","given":"Mohamed"}],"issued":{"date-parts":[["2007",6,21]]}}}],"schema":"https://github.com/citation-style-language/schema/raw/master/csl-citation.json"} </w:instrText>
      </w:r>
      <w:r w:rsidRPr="0002548A">
        <w:rPr>
          <w:rStyle w:val="IUCrbodytextChar"/>
          <w:rFonts w:eastAsiaTheme="minorHAnsi"/>
        </w:rPr>
        <w:fldChar w:fldCharType="separate"/>
      </w:r>
      <w:r w:rsidRPr="00BE653C">
        <w:t xml:space="preserve">(Goncharov </w:t>
      </w:r>
      <w:r w:rsidRPr="00BE653C">
        <w:rPr>
          <w:i/>
          <w:iCs/>
        </w:rPr>
        <w:t>et al.</w:t>
      </w:r>
      <w:r w:rsidRPr="00BE653C">
        <w:t>, 2007)</w:t>
      </w:r>
      <w:r w:rsidRPr="0002548A">
        <w:rPr>
          <w:rStyle w:val="IUCrbodytextChar"/>
          <w:rFonts w:eastAsiaTheme="minorHAnsi"/>
        </w:rPr>
        <w:fldChar w:fldCharType="end"/>
      </w:r>
      <w:r w:rsidRPr="004742BD">
        <w:rPr>
          <w:rStyle w:val="IUCrbodytextChar"/>
          <w:rFonts w:eastAsiaTheme="minorHAnsi"/>
        </w:rPr>
        <w:t xml:space="preserve"> and ~220 K from </w:t>
      </w:r>
      <w:proofErr w:type="spellStart"/>
      <w:r w:rsidRPr="004742BD">
        <w:rPr>
          <w:rStyle w:val="IUCrbodytextChar"/>
          <w:rFonts w:eastAsiaTheme="minorHAnsi"/>
        </w:rPr>
        <w:t>Ti</w:t>
      </w:r>
      <w:proofErr w:type="spellEnd"/>
      <w:r w:rsidRPr="004742BD">
        <w:rPr>
          <w:rStyle w:val="IUCrbodytextChar"/>
          <w:rFonts w:eastAsiaTheme="minorHAnsi"/>
        </w:rPr>
        <w:t xml:space="preserve"> </w:t>
      </w:r>
      <w:r w:rsidRPr="0002548A">
        <w:rPr>
          <w:rStyle w:val="IUCrbodytextChar"/>
          <w:rFonts w:eastAsiaTheme="minorHAnsi"/>
        </w:rPr>
        <w:fldChar w:fldCharType="begin"/>
      </w:r>
      <w:r w:rsidR="00491DFC">
        <w:rPr>
          <w:rStyle w:val="IUCrbodytextChar"/>
          <w:rFonts w:eastAsiaTheme="minorHAnsi"/>
        </w:rPr>
        <w:instrText xml:space="preserve"> ADDIN ZOTERO_ITEM CSL_CITATION {"citationID":"odNv3rWe","properties":{"formattedCitation":"(Zhang {\\i{}et al.}, 2008{\\i{}b})","plainCitation":"(Zhang et al., 2008b)","noteIndex":0},"citationItems":[{"id":"GMxW0Csb/iqf0dwb8","uris":["http://zotero.org/users/local/uJBp8IoE/items/4NZK9K8V"],"uri":["http://zotero.org/users/local/uJBp8IoE/items/4NZK9K8V"],"itemData":{"id":378,"type":"article-journal","abstract":"We have conducted in situ high-pressure diffraction experiments on titanium metal at pressures up to 8.2 GPa and temperatures up to 900 K. From the pressure (P)-volume (V)-temperature (T) measurements, thermoelastic parameters were derived for α titanium based on a modified high-T Birch-Murnaghan equation of state and a thermal pressure approach. With the pressure derivative of the bulk modulus, K′0, fixed at 4.0, we obtained: ambient bulk modulus K0=114(3) GPa, temperature derivative of bulk modulus at constant pressure (∂K/∂T)P=−1.1(7)×10−2 GPa K−1 and at constant volume (∂K/∂T)V=−9.0×10−4 GPa K−1, volumetric thermal expansivity αT=a+bT with a=1.2(±0.6)×10−5 K−1 and b=2.5(±1.1)×10−8 K−2, and the pressure derivative of thermal expansion (∂α/∂P)T=−8.5×10−7 GPa−1 K−1. The ambient bulk modulus and volumetric thermal expansion derived from this work are in good agreement with previous experimental results, whereas all other thermoelastic parameters represent the first determinations for the α phase of titanium. For the ω-phase Ti, we obtained K0=107(3) GPa and volumetric thermal expansivity at 8.1 GPa αT=a+bT with a=6.5(±3.5)×10−6 K−1 and b=2.8(±0.6)×10−8 K−2. Within the experimental uncertainties, the c/a ratios for α-Ti at both room and high temperatures remain constant over the experimental pressures up to 7.8 GPa, presenting a case against the isotropic force potential used in some theoretical modeling for hcp metals under high pressures.","container-title":"Physical Review B","DOI":"10.1103/PhysRevB.78.054119","issue":"5","journalAbbreviation":"Phys. Rev. B","note":"publisher: American Physical Society","page":"054119","source":"APS","title":"Thermal equations of state for titanium obtained by high pressure---temperature diffraction studies","volume":"78","author":[{"family":"Zhang","given":"Jianzhong"},{"family":"Zhao","given":"Yusheng"},{"family":"Hixson","given":"Robert S."},{"family":"Gray","given":"George T."},{"family":"Wang","given":"Liping"},{"family":"Utsumi","given":"Wataru"},{"family":"Hiroyuki","given":"Saito"},{"family":"Takanori","given":"Hattori"}],"issued":{"date-parts":[["2008",8,22]]}}}],"schema":"https://github.com/citation-style-language/schema/raw/master/csl-citation.json"} </w:instrText>
      </w:r>
      <w:r w:rsidRPr="0002548A">
        <w:rPr>
          <w:rStyle w:val="IUCrbodytextChar"/>
          <w:rFonts w:eastAsiaTheme="minorHAnsi"/>
        </w:rPr>
        <w:fldChar w:fldCharType="separate"/>
      </w:r>
      <w:r w:rsidRPr="000266C4">
        <w:t xml:space="preserve">(Zhang </w:t>
      </w:r>
      <w:r w:rsidRPr="000266C4">
        <w:rPr>
          <w:i/>
          <w:iCs/>
        </w:rPr>
        <w:t>et al.</w:t>
      </w:r>
      <w:r w:rsidRPr="000266C4">
        <w:t>, 2008</w:t>
      </w:r>
      <w:r w:rsidRPr="000266C4">
        <w:rPr>
          <w:i/>
          <w:iCs/>
        </w:rPr>
        <w:t>b</w:t>
      </w:r>
      <w:r w:rsidRPr="000266C4">
        <w:t>)</w:t>
      </w:r>
      <w:r w:rsidRPr="0002548A">
        <w:rPr>
          <w:rStyle w:val="IUCrbodytextChar"/>
          <w:rFonts w:eastAsiaTheme="minorHAnsi"/>
        </w:rPr>
        <w:fldChar w:fldCharType="end"/>
      </w:r>
      <w:r w:rsidRPr="004742BD">
        <w:rPr>
          <w:rStyle w:val="IUCrbodytextChar"/>
          <w:rFonts w:eastAsiaTheme="minorHAnsi"/>
        </w:rPr>
        <w:t>.</w:t>
      </w:r>
    </w:p>
    <w:p w14:paraId="227BF79B" w14:textId="5007FB8E" w:rsidR="00A20AFF" w:rsidRPr="004742BD" w:rsidRDefault="00A20AFF" w:rsidP="00A20AFF">
      <w:pPr>
        <w:pStyle w:val="IUCrbodytext"/>
        <w:rPr>
          <w:rFonts w:eastAsia="Arial"/>
        </w:rPr>
      </w:pPr>
      <w:r w:rsidRPr="004742BD">
        <w:rPr>
          <w:rFonts w:eastAsia="Arial"/>
          <w:bCs/>
          <w:shd w:val="clear" w:color="FDFDFD" w:fill="FDFDFD"/>
        </w:rPr>
        <w:t xml:space="preserve">The sample was compressed using the DESY </w:t>
      </w:r>
      <w:proofErr w:type="spellStart"/>
      <w:r w:rsidRPr="004742BD">
        <w:rPr>
          <w:rFonts w:eastAsia="Arial"/>
          <w:bCs/>
          <w:shd w:val="clear" w:color="FDFDFD" w:fill="FDFDFD"/>
        </w:rPr>
        <w:t>dDAC</w:t>
      </w:r>
      <w:proofErr w:type="spellEnd"/>
      <w:r w:rsidRPr="004742BD">
        <w:rPr>
          <w:rFonts w:eastAsia="Arial"/>
          <w:bCs/>
          <w:shd w:val="clear" w:color="FDFDFD" w:fill="FDFDFD"/>
        </w:rPr>
        <w:t xml:space="preserve"> with a 960 µs rise time up to 800 V, where XRD data were collected 760 </w:t>
      </w:r>
      <w:proofErr w:type="spellStart"/>
      <w:r>
        <w:rPr>
          <w:rFonts w:eastAsia="Arial"/>
          <w:bCs/>
          <w:shd w:val="clear" w:color="FDFDFD" w:fill="FDFDFD"/>
        </w:rPr>
        <w:t>μ</w:t>
      </w:r>
      <w:r w:rsidRPr="004742BD">
        <w:rPr>
          <w:rFonts w:eastAsia="Arial"/>
          <w:bCs/>
          <w:shd w:val="clear" w:color="FDFDFD" w:fill="FDFDFD"/>
        </w:rPr>
        <w:t>s</w:t>
      </w:r>
      <w:proofErr w:type="spellEnd"/>
      <w:r w:rsidRPr="004742BD">
        <w:rPr>
          <w:rFonts w:eastAsia="Arial"/>
          <w:bCs/>
          <w:shd w:val="clear" w:color="FDFDFD" w:fill="FDFDFD"/>
        </w:rPr>
        <w:t xml:space="preserve"> after the start of the voltage waveform using 3% </w:t>
      </w:r>
      <w:r>
        <w:rPr>
          <w:rFonts w:eastAsia="Arial"/>
          <w:bCs/>
          <w:shd w:val="clear" w:color="FDFDFD" w:fill="FDFDFD"/>
        </w:rPr>
        <w:t xml:space="preserve">X-ray </w:t>
      </w:r>
      <w:r w:rsidRPr="004742BD">
        <w:rPr>
          <w:rFonts w:eastAsia="Arial"/>
          <w:bCs/>
          <w:shd w:val="clear" w:color="FDFDFD" w:fill="FDFDFD"/>
        </w:rPr>
        <w:t>transmission</w:t>
      </w:r>
      <w:r>
        <w:rPr>
          <w:rFonts w:eastAsia="Arial"/>
          <w:bCs/>
          <w:shd w:val="clear" w:color="FDFDFD" w:fill="FDFDFD"/>
        </w:rPr>
        <w:t xml:space="preserve"> </w:t>
      </w:r>
      <w:r w:rsidRPr="004742BD">
        <w:rPr>
          <w:color w:val="000000" w:themeColor="text1"/>
        </w:rPr>
        <w:t>(7</w:t>
      </w:r>
      <w:r>
        <w:rPr>
          <w:color w:val="000000" w:themeColor="text1"/>
        </w:rPr>
        <w:t xml:space="preserve"> </w:t>
      </w:r>
      <w:r>
        <w:rPr>
          <w:szCs w:val="20"/>
        </w:rPr>
        <w:t xml:space="preserve">± </w:t>
      </w:r>
      <w:r w:rsidRPr="004742BD">
        <w:rPr>
          <w:color w:val="000000" w:themeColor="text1"/>
        </w:rPr>
        <w:t>3 µJ)</w:t>
      </w:r>
      <w:r w:rsidRPr="004742BD">
        <w:rPr>
          <w:rFonts w:eastAsia="Arial"/>
          <w:bCs/>
          <w:shd w:val="clear" w:color="FDFDFD" w:fill="FDFDFD"/>
        </w:rPr>
        <w:t xml:space="preserve"> (</w:t>
      </w:r>
      <w:r w:rsidRPr="004742BD">
        <w:rPr>
          <w:rFonts w:eastAsia="Arial"/>
          <w:bCs/>
          <w:color w:val="000000" w:themeColor="text1"/>
          <w:shd w:val="clear" w:color="FDFDFD" w:fill="FDFDFD"/>
        </w:rPr>
        <w:t xml:space="preserve">Fig. </w:t>
      </w:r>
      <w:r>
        <w:rPr>
          <w:rFonts w:eastAsia="Arial"/>
          <w:bCs/>
          <w:color w:val="000000" w:themeColor="text1"/>
          <w:shd w:val="clear" w:color="FDFDFD" w:fill="FDFDFD"/>
        </w:rPr>
        <w:t>7</w:t>
      </w:r>
      <w:r w:rsidRPr="004742BD">
        <w:rPr>
          <w:rFonts w:eastAsia="Arial"/>
          <w:bCs/>
          <w:shd w:val="clear" w:color="FDFDFD" w:fill="FDFDFD"/>
        </w:rPr>
        <w:t xml:space="preserve">). </w:t>
      </w:r>
      <w:r>
        <w:rPr>
          <w:rFonts w:eastAsia="Arial"/>
          <w:bCs/>
          <w:shd w:val="clear" w:color="FDFDFD" w:fill="FDFDFD"/>
        </w:rPr>
        <w:t xml:space="preserve">All reflections could be identified as originating </w:t>
      </w:r>
      <w:r w:rsidRPr="004742BD">
        <w:rPr>
          <w:rFonts w:eastAsia="Arial"/>
          <w:bCs/>
          <w:shd w:val="clear" w:color="FDFDFD" w:fill="FDFDFD"/>
        </w:rPr>
        <w:t xml:space="preserve">from </w:t>
      </w:r>
      <w:r>
        <w:rPr>
          <w:color w:val="000000" w:themeColor="text1"/>
        </w:rPr>
        <w:t>α</w:t>
      </w:r>
      <w:r w:rsidRPr="004742BD">
        <w:rPr>
          <w:color w:val="000000" w:themeColor="text1"/>
        </w:rPr>
        <w:t>-</w:t>
      </w:r>
      <w:proofErr w:type="spellStart"/>
      <w:r w:rsidRPr="004742BD">
        <w:rPr>
          <w:color w:val="000000" w:themeColor="text1"/>
        </w:rPr>
        <w:t>Ti</w:t>
      </w:r>
      <w:proofErr w:type="spellEnd"/>
      <w:r w:rsidRPr="004742BD">
        <w:rPr>
          <w:color w:val="000000" w:themeColor="text1"/>
        </w:rPr>
        <w:t xml:space="preserve">, </w:t>
      </w:r>
      <w:proofErr w:type="spellStart"/>
      <w:r w:rsidRPr="004742BD">
        <w:rPr>
          <w:color w:val="000000" w:themeColor="text1"/>
        </w:rPr>
        <w:t>LiF</w:t>
      </w:r>
      <w:proofErr w:type="spellEnd"/>
      <w:r w:rsidRPr="004742BD">
        <w:rPr>
          <w:color w:val="000000" w:themeColor="text1"/>
        </w:rPr>
        <w:t xml:space="preserve">, </w:t>
      </w:r>
      <w:proofErr w:type="spellStart"/>
      <w:r w:rsidRPr="004742BD">
        <w:rPr>
          <w:color w:val="000000" w:themeColor="text1"/>
        </w:rPr>
        <w:t>cBN</w:t>
      </w:r>
      <w:proofErr w:type="spellEnd"/>
      <w:r w:rsidRPr="004742BD">
        <w:rPr>
          <w:color w:val="000000" w:themeColor="text1"/>
        </w:rPr>
        <w:t xml:space="preserve">, </w:t>
      </w:r>
      <w:r>
        <w:rPr>
          <w:color w:val="000000" w:themeColor="text1"/>
        </w:rPr>
        <w:t>or</w:t>
      </w:r>
      <w:r w:rsidRPr="004742BD">
        <w:rPr>
          <w:color w:val="000000" w:themeColor="text1"/>
        </w:rPr>
        <w:t xml:space="preserve"> the gasket</w:t>
      </w:r>
      <w:r w:rsidRPr="004742BD">
        <w:rPr>
          <w:rFonts w:eastAsia="Arial"/>
          <w:bCs/>
          <w:shd w:val="clear" w:color="FDFDFD" w:fill="FDFDFD"/>
        </w:rPr>
        <w:t>.</w:t>
      </w:r>
      <w:r>
        <w:rPr>
          <w:rFonts w:eastAsia="Arial"/>
          <w:bCs/>
          <w:shd w:val="clear" w:color="FDFDFD" w:fill="FDFDFD"/>
        </w:rPr>
        <w:t xml:space="preserve"> Unfortunately, none of the </w:t>
      </w:r>
      <w:proofErr w:type="spellStart"/>
      <w:r>
        <w:rPr>
          <w:rFonts w:eastAsia="Arial"/>
          <w:bCs/>
          <w:shd w:val="clear" w:color="FDFDFD" w:fill="FDFDFD"/>
        </w:rPr>
        <w:t>LiF</w:t>
      </w:r>
      <w:proofErr w:type="spellEnd"/>
      <w:r>
        <w:rPr>
          <w:rFonts w:eastAsia="Arial"/>
          <w:bCs/>
          <w:shd w:val="clear" w:color="FDFDFD" w:fill="FDFDFD"/>
        </w:rPr>
        <w:t xml:space="preserve"> or </w:t>
      </w:r>
      <w:proofErr w:type="spellStart"/>
      <w:r>
        <w:rPr>
          <w:rFonts w:eastAsia="Arial"/>
          <w:bCs/>
          <w:shd w:val="clear" w:color="FDFDFD" w:fill="FDFDFD"/>
        </w:rPr>
        <w:t>cBN</w:t>
      </w:r>
      <w:proofErr w:type="spellEnd"/>
      <w:r>
        <w:rPr>
          <w:rFonts w:eastAsia="Arial"/>
          <w:bCs/>
          <w:shd w:val="clear" w:color="FDFDFD" w:fill="FDFDFD"/>
        </w:rPr>
        <w:t xml:space="preserve"> reflections were observed across the entire dataset, highlighting a potential issue when low</w:t>
      </w:r>
      <w:r w:rsidR="0020499E">
        <w:rPr>
          <w:rFonts w:eastAsia="Arial"/>
          <w:bCs/>
          <w:shd w:val="clear" w:color="FDFDFD" w:fill="FDFDFD"/>
        </w:rPr>
        <w:t>-</w:t>
      </w:r>
      <w:r>
        <w:rPr>
          <w:rFonts w:eastAsia="Arial"/>
          <w:bCs/>
          <w:shd w:val="clear" w:color="FDFDFD" w:fill="FDFDFD"/>
        </w:rPr>
        <w:t xml:space="preserve">Z pressure markers are used to avoid X-ray heating; the (110) </w:t>
      </w:r>
      <w:proofErr w:type="spellStart"/>
      <w:r>
        <w:rPr>
          <w:rFonts w:eastAsia="Arial"/>
          <w:bCs/>
          <w:shd w:val="clear" w:color="FDFDFD" w:fill="FDFDFD"/>
        </w:rPr>
        <w:t>LiF</w:t>
      </w:r>
      <w:proofErr w:type="spellEnd"/>
      <w:r>
        <w:rPr>
          <w:rFonts w:eastAsia="Arial"/>
          <w:bCs/>
          <w:shd w:val="clear" w:color="FDFDFD" w:fill="FDFDFD"/>
        </w:rPr>
        <w:t xml:space="preserve"> reflection was obscured by the (0002) α-</w:t>
      </w:r>
      <w:proofErr w:type="spellStart"/>
      <w:r>
        <w:rPr>
          <w:rFonts w:eastAsia="Arial"/>
          <w:bCs/>
          <w:shd w:val="clear" w:color="FDFDFD" w:fill="FDFDFD"/>
        </w:rPr>
        <w:t>Ti</w:t>
      </w:r>
      <w:proofErr w:type="spellEnd"/>
      <w:r>
        <w:rPr>
          <w:rFonts w:eastAsia="Arial"/>
          <w:bCs/>
          <w:shd w:val="clear" w:color="FDFDFD" w:fill="FDFDFD"/>
        </w:rPr>
        <w:t xml:space="preserve"> reflection in all patterns, the (200) reflection </w:t>
      </w:r>
      <w:r>
        <w:rPr>
          <w:rFonts w:eastAsia="Arial"/>
          <w:bCs/>
          <w:shd w:val="clear" w:color="FDFDFD" w:fill="FDFDFD"/>
        </w:rPr>
        <w:lastRenderedPageBreak/>
        <w:t xml:space="preserve">overlapped with one of the gasket reflections at the start of data collection, and the (111) </w:t>
      </w:r>
      <w:proofErr w:type="spellStart"/>
      <w:r>
        <w:rPr>
          <w:rFonts w:eastAsia="Arial"/>
          <w:bCs/>
          <w:shd w:val="clear" w:color="FDFDFD" w:fill="FDFDFD"/>
        </w:rPr>
        <w:t>cBN</w:t>
      </w:r>
      <w:proofErr w:type="spellEnd"/>
      <w:r>
        <w:rPr>
          <w:rFonts w:eastAsia="Arial"/>
          <w:bCs/>
          <w:shd w:val="clear" w:color="FDFDFD" w:fill="FDFDFD"/>
        </w:rPr>
        <w:t xml:space="preserve"> reflection bec</w:t>
      </w:r>
      <w:r w:rsidR="00CB0365">
        <w:rPr>
          <w:rFonts w:eastAsia="Arial"/>
          <w:bCs/>
          <w:shd w:val="clear" w:color="FDFDFD" w:fill="FDFDFD"/>
        </w:rPr>
        <w:t>ame</w:t>
      </w:r>
      <w:r>
        <w:rPr>
          <w:rFonts w:eastAsia="Arial"/>
          <w:bCs/>
          <w:shd w:val="clear" w:color="FDFDFD" w:fill="FDFDFD"/>
        </w:rPr>
        <w:t xml:space="preserve"> too weak to be clearly identified at the end of data collection (Fig. 7 (a)). T</w:t>
      </w:r>
      <w:r w:rsidRPr="004742BD">
        <w:rPr>
          <w:rFonts w:eastAsia="Arial"/>
          <w:bCs/>
          <w:shd w:val="clear" w:color="FDFDFD" w:fill="FDFDFD"/>
        </w:rPr>
        <w:t xml:space="preserve">he pressure was </w:t>
      </w:r>
      <w:r>
        <w:rPr>
          <w:rFonts w:eastAsia="Arial"/>
          <w:bCs/>
          <w:shd w:val="clear" w:color="FDFDFD" w:fill="FDFDFD"/>
        </w:rPr>
        <w:t xml:space="preserve">therefore </w:t>
      </w:r>
      <w:r w:rsidRPr="004742BD">
        <w:rPr>
          <w:rFonts w:eastAsia="Arial"/>
          <w:bCs/>
          <w:shd w:val="clear" w:color="FDFDFD" w:fill="FDFDFD"/>
        </w:rPr>
        <w:t>estimated from</w:t>
      </w:r>
      <w:r>
        <w:rPr>
          <w:rFonts w:eastAsia="Arial"/>
          <w:bCs/>
          <w:shd w:val="clear" w:color="FDFDFD" w:fill="FDFDFD"/>
        </w:rPr>
        <w:t xml:space="preserve"> the unit cell volume of α-</w:t>
      </w:r>
      <w:proofErr w:type="spellStart"/>
      <w:r w:rsidRPr="004742BD">
        <w:rPr>
          <w:rFonts w:eastAsia="Arial"/>
          <w:bCs/>
          <w:shd w:val="clear" w:color="FDFDFD" w:fill="FDFDFD"/>
        </w:rPr>
        <w:t>Ti</w:t>
      </w:r>
      <w:proofErr w:type="spellEnd"/>
      <w:r w:rsidRPr="004742BD">
        <w:rPr>
          <w:rFonts w:eastAsia="Arial"/>
          <w:bCs/>
          <w:shd w:val="clear" w:color="FDFDFD" w:fill="FDFDFD"/>
        </w:rPr>
        <w:t xml:space="preserve"> </w:t>
      </w:r>
      <w:r>
        <w:rPr>
          <w:rFonts w:eastAsia="Arial"/>
          <w:bCs/>
          <w:shd w:val="clear" w:color="FDFDFD" w:fill="FDFDFD"/>
        </w:rPr>
        <w:fldChar w:fldCharType="begin"/>
      </w:r>
      <w:r w:rsidR="006722F5">
        <w:rPr>
          <w:rFonts w:eastAsia="Arial"/>
          <w:bCs/>
          <w:shd w:val="clear" w:color="FDFDFD" w:fill="FDFDFD"/>
        </w:rPr>
        <w:instrText xml:space="preserve"> ADDIN ZOTERO_ITEM CSL_CITATION {"citationID":"zDS8hJcl","properties":{"formattedCitation":"(Errandonea {\\i{}et al.}, 2005)","plainCitation":"(Errandonea et al., 2005)","noteIndex":0},"citationItems":[{"id":"k3ssTldU/fhfT6opf","uris":["http://zotero.org/users/local/uJBp8IoE/items/25W56SWU"],"uri":["http://zotero.org/users/local/uJBp8IoE/items/25W56SWU"],"itemData":{"id":"MaEc7TzS/UFWbQkX3","type":"article-journal","abstract":"The effects of uniaxial stress on the pressure-induced α→ω transition in pure titanium (Ti) are investigated by means of angle dispersive X-ray diffraction in a diamond-anvil cell. Experiments under four different pressure environments reveal that: (1) the onset of the transition depends on the pressure medium used, going from 4.9GPa (no pressure medium) to 10.5GPa (argon pressure medium); (2) the α and ω phases coexist over a rather large pressure range, which depends on the pressure medium employed; (3) the hysteresis and quenchability of the ω phase is affected by differences in the sample pressure environment; and (4) a short-term laser heating of Ti lowers the α→ω transition pressure. Possible transition mechanisms are discussed in the light of the present results, which clearly demonstrate the influence of uniaxial stress in the α→ω transition.","container-title":"Physica B: Condensed Matter","DOI":"10.1016/j.physb.2004.10.030","ISSN":"0921-4526","issue":"1","journalAbbreviation":"Physica B: Condensed Matter","language":"en","page":"116-125","source":"ScienceDirect","title":"Pressure-induced α→ω transition in titanium metal: a systematic study of the effects of uniaxial stress","title-short":"Pressure-induced α→ω transition in titanium metal","volume":"355","author":[{"family":"Errandonea","given":"Daniel"},{"family":"Meng","given":"Y."},{"family":"Somayazulu","given":"M."},{"family":"Häusermann","given":"D."}],"issued":{"date-parts":[["2005",1,31]]}}}],"schema":"https://github.com/citation-style-language/schema/raw/master/csl-citation.json"} </w:instrText>
      </w:r>
      <w:r>
        <w:rPr>
          <w:rFonts w:eastAsia="Arial"/>
          <w:bCs/>
          <w:shd w:val="clear" w:color="FDFDFD" w:fill="FDFDFD"/>
        </w:rPr>
        <w:fldChar w:fldCharType="separate"/>
      </w:r>
      <w:r w:rsidRPr="004742BD">
        <w:t xml:space="preserve">(Errandonea </w:t>
      </w:r>
      <w:r w:rsidRPr="004742BD">
        <w:rPr>
          <w:i/>
          <w:iCs/>
        </w:rPr>
        <w:t>et al.</w:t>
      </w:r>
      <w:r w:rsidRPr="004742BD">
        <w:t>, 2005)</w:t>
      </w:r>
      <w:r>
        <w:rPr>
          <w:rFonts w:eastAsia="Arial"/>
          <w:bCs/>
          <w:shd w:val="clear" w:color="FDFDFD" w:fill="FDFDFD"/>
        </w:rPr>
        <w:fldChar w:fldCharType="end"/>
      </w:r>
      <w:r w:rsidRPr="004742BD">
        <w:rPr>
          <w:rFonts w:eastAsia="Arial"/>
          <w:bCs/>
          <w:shd w:val="clear" w:color="FDFDFD" w:fill="FDFDFD"/>
        </w:rPr>
        <w:t xml:space="preserve">. The sample pressure increased to 4.7 </w:t>
      </w:r>
      <w:proofErr w:type="spellStart"/>
      <w:r w:rsidRPr="004742BD">
        <w:rPr>
          <w:rFonts w:eastAsia="Arial"/>
          <w:bCs/>
          <w:shd w:val="clear" w:color="FDFDFD" w:fill="FDFDFD"/>
        </w:rPr>
        <w:t>GPa</w:t>
      </w:r>
      <w:proofErr w:type="spellEnd"/>
      <w:r w:rsidRPr="004742BD">
        <w:rPr>
          <w:rFonts w:eastAsia="Arial"/>
          <w:bCs/>
          <w:shd w:val="clear" w:color="FDFDFD" w:fill="FDFDFD"/>
        </w:rPr>
        <w:t xml:space="preserve"> in the first 760 µs (before the start of data collection), further increasing to 11.9</w:t>
      </w:r>
      <w:r>
        <w:rPr>
          <w:rFonts w:eastAsia="Arial"/>
          <w:bCs/>
          <w:shd w:val="clear" w:color="FDFDFD" w:fill="FDFDFD"/>
        </w:rPr>
        <w:t> </w:t>
      </w:r>
      <w:proofErr w:type="spellStart"/>
      <w:r w:rsidRPr="004742BD">
        <w:rPr>
          <w:rFonts w:eastAsia="Arial"/>
          <w:bCs/>
          <w:shd w:val="clear" w:color="FDFDFD" w:fill="FDFDFD"/>
        </w:rPr>
        <w:t>GPa</w:t>
      </w:r>
      <w:proofErr w:type="spellEnd"/>
      <w:r w:rsidRPr="004742BD">
        <w:rPr>
          <w:rFonts w:eastAsia="Arial"/>
          <w:bCs/>
          <w:shd w:val="clear" w:color="FDFDFD" w:fill="FDFDFD"/>
        </w:rPr>
        <w:t xml:space="preserve"> at the end of the pulse train with an average compression rate of 37 </w:t>
      </w:r>
      <w:proofErr w:type="spellStart"/>
      <w:r w:rsidRPr="004742BD">
        <w:rPr>
          <w:rFonts w:eastAsia="Arial"/>
          <w:bCs/>
          <w:shd w:val="clear" w:color="FDFDFD" w:fill="FDFDFD"/>
        </w:rPr>
        <w:t>TPa</w:t>
      </w:r>
      <w:proofErr w:type="spellEnd"/>
      <w:r w:rsidRPr="004742BD">
        <w:rPr>
          <w:rFonts w:eastAsia="Arial"/>
          <w:bCs/>
          <w:shd w:val="clear" w:color="FDFDFD" w:fill="FDFDFD"/>
        </w:rPr>
        <w:t>/s</w:t>
      </w:r>
      <w:r>
        <w:rPr>
          <w:rFonts w:eastAsia="Arial"/>
          <w:bCs/>
          <w:shd w:val="clear" w:color="FDFDFD" w:fill="FDFDFD"/>
        </w:rPr>
        <w:t xml:space="preserve"> (</w:t>
      </w:r>
      <m:oMath>
        <m:acc>
          <m:accPr>
            <m:chr m:val="̇"/>
            <m:ctrlPr>
              <w:rPr>
                <w:rFonts w:ascii="Cambria Math" w:eastAsia="Arial" w:hAnsi="Cambria Math"/>
                <w:i/>
                <w:szCs w:val="22"/>
                <w:shd w:val="clear" w:color="FDFDFD" w:fill="FDFDFD"/>
              </w:rPr>
            </m:ctrlPr>
          </m:accPr>
          <m:e>
            <m:r>
              <w:rPr>
                <w:rFonts w:ascii="Cambria Math" w:eastAsia="Arial" w:hAnsi="Cambria Math"/>
                <w:szCs w:val="22"/>
                <w:shd w:val="clear" w:color="FDFDFD" w:fill="FDFDFD"/>
              </w:rPr>
              <m:t>ε</m:t>
            </m:r>
          </m:e>
        </m:acc>
      </m:oMath>
      <w:r>
        <w:rPr>
          <w:rFonts w:eastAsia="Arial"/>
          <w:szCs w:val="22"/>
          <w:shd w:val="clear" w:color="FDFDFD" w:fill="FDFDFD"/>
        </w:rPr>
        <w:t xml:space="preserve"> = 240 s</w:t>
      </w:r>
      <w:r w:rsidRPr="00A45875">
        <w:rPr>
          <w:rFonts w:eastAsia="Arial"/>
          <w:szCs w:val="22"/>
          <w:shd w:val="clear" w:color="FDFDFD" w:fill="FDFDFD"/>
          <w:vertAlign w:val="superscript"/>
        </w:rPr>
        <w:t>-1</w:t>
      </w:r>
      <w:r>
        <w:rPr>
          <w:rFonts w:eastAsia="Arial"/>
          <w:szCs w:val="22"/>
          <w:shd w:val="clear" w:color="FDFDFD" w:fill="FDFDFD"/>
        </w:rPr>
        <w:t xml:space="preserve"> in α-</w:t>
      </w:r>
      <w:proofErr w:type="spellStart"/>
      <w:r>
        <w:rPr>
          <w:rFonts w:eastAsia="Arial"/>
          <w:szCs w:val="22"/>
          <w:shd w:val="clear" w:color="FDFDFD" w:fill="FDFDFD"/>
        </w:rPr>
        <w:t>Ti</w:t>
      </w:r>
      <w:proofErr w:type="spellEnd"/>
      <w:r>
        <w:rPr>
          <w:rFonts w:eastAsia="Arial"/>
          <w:szCs w:val="22"/>
          <w:shd w:val="clear" w:color="FDFDFD" w:fill="FDFDFD"/>
        </w:rPr>
        <w:t>)</w:t>
      </w:r>
      <w:r w:rsidRPr="004742BD">
        <w:rPr>
          <w:rFonts w:eastAsia="Arial"/>
          <w:bCs/>
          <w:shd w:val="clear" w:color="FDFDFD" w:fill="FDFDFD"/>
        </w:rPr>
        <w:t xml:space="preserve">. </w:t>
      </w:r>
    </w:p>
    <w:p w14:paraId="08D6B081" w14:textId="2151692D" w:rsidR="00A20AFF" w:rsidRDefault="00A20AFF" w:rsidP="00A20AFF">
      <w:pPr>
        <w:pStyle w:val="IUCrbodytext"/>
      </w:pPr>
      <w:r w:rsidRPr="004742BD">
        <w:t xml:space="preserve">No evidence of </w:t>
      </w:r>
      <w:r>
        <w:t>ω</w:t>
      </w:r>
      <w:r w:rsidRPr="004742BD">
        <w:t>-</w:t>
      </w:r>
      <w:proofErr w:type="spellStart"/>
      <w:r w:rsidRPr="004742BD">
        <w:t>Ti</w:t>
      </w:r>
      <w:proofErr w:type="spellEnd"/>
      <w:r w:rsidRPr="004742BD">
        <w:t xml:space="preserve"> was observed up to the highest pressure, which is &gt;6 </w:t>
      </w:r>
      <w:proofErr w:type="spellStart"/>
      <w:r w:rsidRPr="004742BD">
        <w:t>GPa</w:t>
      </w:r>
      <w:proofErr w:type="spellEnd"/>
      <w:r w:rsidRPr="004742BD">
        <w:t xml:space="preserve"> above the </w:t>
      </w:r>
      <w:r>
        <w:rPr>
          <w:color w:val="000000" w:themeColor="text1"/>
        </w:rPr>
        <w:t>α</w:t>
      </w:r>
      <w:r w:rsidRPr="004742BD">
        <w:rPr>
          <w:color w:val="000000" w:themeColor="text1"/>
        </w:rPr>
        <w:t>/</w:t>
      </w:r>
      <w:r>
        <w:t>ω</w:t>
      </w:r>
      <w:r w:rsidRPr="004742BD">
        <w:t xml:space="preserve"> </w:t>
      </w:r>
      <w:r w:rsidRPr="00345AC9">
        <w:t xml:space="preserve">equilibrium phase boundary at room temperature and &gt;5.5 </w:t>
      </w:r>
      <w:proofErr w:type="spellStart"/>
      <w:r w:rsidRPr="00345AC9">
        <w:t>GPa</w:t>
      </w:r>
      <w:proofErr w:type="spellEnd"/>
      <w:r w:rsidRPr="00345AC9">
        <w:t xml:space="preserve"> at 520 K </w:t>
      </w:r>
      <w:r w:rsidRPr="00345AC9">
        <w:fldChar w:fldCharType="begin"/>
      </w:r>
      <w:r w:rsidRPr="00345AC9">
        <w:instrText xml:space="preserve"> ADDIN ZOTERO_ITEM CSL_CITATION {"citationID":"mrKVCiFH","properties":{"formattedCitation":"(Zhang {\\i{}et al.}, 2008{\\i{}a})","plainCitation":"(Zhang et al., 2008a)","noteIndex":0},"citationItems":[{"id":128,"uris":["http://zotero.org/users/local/dwaXvkNj/items/ESASZ5A4"],"uri":["http://zotero.org/users/local/dwaXvkNj/items/ESASZ5A4"],"itemData":{"id":128,"type":"article-journal","title":"Experimental constraints on the phase diagram of titanium metal","container-title":"Journal of Physics and Chemistry of Solids","page":"2559-2563","volume":"69","issue":"10","source":"ScienceDirect","abstract":"The phase transformations of titanium metal have been studied at temperatures and pressures up to 973K and 8.7GPa using synchrotron X-ray diffraction. The equilibrium phase boundary of the α–ω transition has a dT/dP slope of 345K/GPa, and the transition pressure at room temperature is located at 5.7GPa. The volume change across the α–ω transition is ΔV=0.197cm3/mol, and the associated entropy change is ΔS=0.57J/molK. Except for ΔV, our results differ substantially from those of previous studies based on an equilibrium transition pressure of 2.0GPa at room temperature. The α–ω–β triple point is estimated to be at 7.5GPa and 913K, which is comparable with previous results obtained from differential thermal analysis and resistometric measurements. An update, more accurate phase diagram is established for Ti metal based on the present observations and previous constraints on the α–β and ω–β phase boundaries.","DOI":"10.1016/j.jpcs.2008.05.016","ISSN":"0022-3697","journalAbbreviation":"J. Phys. Chem. Solids","language":"en","author":[{"family":"Zhang","given":"Jianzhong"},{"family":"Zhao","given":"Yusheng"},{"family":"Hixson","given":"Robert S."},{"family":"Gray","given":"George T."},{"family":"Wang","given":"Liping"},{"family":"Utsumi","given":"Wataru"},{"family":"Hiroyuki","given":"Saito"},{"family":"Takanori","given":"Hattori"}],"issued":{"date-parts":[["2008",10,1]]}}}],"schema":"https://github.com/citation-style-language/schema/raw/master/csl-citation.json"} </w:instrText>
      </w:r>
      <w:r w:rsidRPr="00345AC9">
        <w:fldChar w:fldCharType="separate"/>
      </w:r>
      <w:r w:rsidRPr="00345AC9">
        <w:t xml:space="preserve">(Zhang </w:t>
      </w:r>
      <w:r w:rsidRPr="00345AC9">
        <w:rPr>
          <w:i/>
          <w:iCs/>
        </w:rPr>
        <w:t>et al.</w:t>
      </w:r>
      <w:r w:rsidRPr="00345AC9">
        <w:t>, 2008</w:t>
      </w:r>
      <w:r w:rsidRPr="00345AC9">
        <w:rPr>
          <w:i/>
          <w:iCs/>
        </w:rPr>
        <w:t>a</w:t>
      </w:r>
      <w:r w:rsidRPr="00345AC9">
        <w:t>)</w:t>
      </w:r>
      <w:r w:rsidRPr="00345AC9">
        <w:fldChar w:fldCharType="end"/>
      </w:r>
      <w:r w:rsidRPr="00345AC9">
        <w:t>.</w:t>
      </w:r>
      <w:r w:rsidRPr="00345AC9">
        <w:rPr>
          <w:b/>
        </w:rPr>
        <w:t xml:space="preserve"> </w:t>
      </w:r>
      <w:r w:rsidR="00345AC9" w:rsidRPr="00345AC9">
        <w:rPr>
          <w:szCs w:val="22"/>
        </w:rPr>
        <w:t>An XRD map collected at the 16-ID-B beamline at HPCAT at the Advanced Photon Source in Argonne National Laboratory after the XFEL experiment found that the entire sample had fully transformed to ω-</w:t>
      </w:r>
      <w:proofErr w:type="spellStart"/>
      <w:r w:rsidR="00345AC9" w:rsidRPr="00345AC9">
        <w:rPr>
          <w:szCs w:val="22"/>
        </w:rPr>
        <w:t>Ti</w:t>
      </w:r>
      <w:proofErr w:type="spellEnd"/>
      <w:r w:rsidR="00345AC9" w:rsidRPr="00345AC9">
        <w:rPr>
          <w:szCs w:val="22"/>
        </w:rPr>
        <w:t xml:space="preserve"> and the pressure was estimated to be 21 </w:t>
      </w:r>
      <w:proofErr w:type="spellStart"/>
      <w:r w:rsidR="00345AC9" w:rsidRPr="00345AC9">
        <w:rPr>
          <w:szCs w:val="22"/>
        </w:rPr>
        <w:t>GPa</w:t>
      </w:r>
      <w:proofErr w:type="spellEnd"/>
      <w:r w:rsidR="00345AC9" w:rsidRPr="00345AC9">
        <w:rPr>
          <w:szCs w:val="22"/>
        </w:rPr>
        <w:t xml:space="preserve"> based on the ω-</w:t>
      </w:r>
      <w:proofErr w:type="spellStart"/>
      <w:r w:rsidR="00345AC9" w:rsidRPr="00345AC9">
        <w:rPr>
          <w:szCs w:val="22"/>
        </w:rPr>
        <w:t>Ti</w:t>
      </w:r>
      <w:proofErr w:type="spellEnd"/>
      <w:r w:rsidR="00345AC9" w:rsidRPr="00345AC9">
        <w:rPr>
          <w:szCs w:val="22"/>
        </w:rPr>
        <w:t xml:space="preserve"> </w:t>
      </w:r>
      <w:proofErr w:type="spellStart"/>
      <w:r w:rsidR="00345AC9" w:rsidRPr="00345AC9">
        <w:rPr>
          <w:szCs w:val="22"/>
        </w:rPr>
        <w:t>EoS</w:t>
      </w:r>
      <w:proofErr w:type="spellEnd"/>
      <w:r w:rsidR="00345AC9">
        <w:rPr>
          <w:szCs w:val="22"/>
        </w:rPr>
        <w:t xml:space="preserve"> </w:t>
      </w:r>
      <w:r w:rsidR="006722F5">
        <w:rPr>
          <w:szCs w:val="22"/>
        </w:rPr>
        <w:fldChar w:fldCharType="begin"/>
      </w:r>
      <w:r w:rsidR="006722F5">
        <w:rPr>
          <w:szCs w:val="22"/>
        </w:rPr>
        <w:instrText xml:space="preserve"> ADDIN ZOTERO_ITEM CSL_CITATION {"citationID":"HE3WaFuk","properties":{"formattedCitation":"(Dewaele {\\i{}et al.}, 2015)","plainCitation":"(Dewaele et al., 2015)","noteIndex":0},"citationItems":[{"id":115,"uris":["http://zotero.org/users/local/dwaXvkNj/items/S83PYMLY"],"uri":["http://zotero.org/users/local/dwaXvkNj/items/S83PYMLY"],"itemData":{"id":115,"type":"article-journal","title":"High pressure-temperature phase diagram and equation of state of titanium","container-title":"Physical Review B","page":"134108","volume":"91","issue":"13","source":"APS","abstract":"The high pressure-temperature behavior of titanium has been studied with x-ray diffraction in resistively heated and laser-heated diamond anvil cells up to 200 GPa and </w:instrText>
      </w:r>
      <w:r w:rsidR="006722F5">
        <w:rPr>
          <w:rFonts w:ascii="Cambria Math" w:hAnsi="Cambria Math" w:cs="Cambria Math"/>
          <w:szCs w:val="22"/>
        </w:rPr>
        <w:instrText>∼</w:instrText>
      </w:r>
      <w:r w:rsidR="006722F5">
        <w:rPr>
          <w:szCs w:val="22"/>
        </w:rPr>
        <w:instrText xml:space="preserve">3500 K. The stability fields of α−Ti,ω−Ti,β−Ti,γ−Ti, and δ−Ti have been determined in this range. γ−Ti and δ−Ti, which had been evidenced earlier under nonhydrostatic compression, are also observed in helium pressure transmitting medium. Equation-of-state parameters are proposed for α−Ti and ω−Ti at 300 K, and β−Ti at high temperature. The stability fields of the α,ω,γ, and δ phases are also studied using the projector-augmented wave method based on density-functional theory. Using the relevant core radius to avoid overlapping between atomic spheres, and relaxing cells and atomic positions, we show that all those phases have a stability domain at 0 K. We explain why γ−Ti and δ−Ti were calculated to be unstable in earlier works. In addition, a new phase, called δ′-Ti, which is a distortion of δ−Ti, is predicted to form between 80 and 120 GPa and below </w:instrText>
      </w:r>
      <w:r w:rsidR="006722F5">
        <w:rPr>
          <w:rFonts w:ascii="Cambria Math" w:hAnsi="Cambria Math" w:cs="Cambria Math"/>
          <w:szCs w:val="22"/>
        </w:rPr>
        <w:instrText>≃</w:instrText>
      </w:r>
      <w:r w:rsidR="006722F5">
        <w:rPr>
          <w:szCs w:val="22"/>
        </w:rPr>
        <w:instrText xml:space="preserve">200 K.","DOI":"10.1103/PhysRevB.91.134108","journalAbbreviation":"Phys. Rev. B","author":[{"family":"Dewaele","given":"Agnès"},{"family":"Stutzmann","given":"Vincent"},{"family":"Bouchet","given":"Johann"},{"family":"Bottin","given":"François"},{"family":"Occelli","given":"Florent"},{"family":"Mezouar","given":"Mohamed"}],"issued":{"date-parts":[["2015",4,21]]}}}],"schema":"https://github.com/citation-style-language/schema/raw/master/csl-citation.json"} </w:instrText>
      </w:r>
      <w:r w:rsidR="006722F5">
        <w:rPr>
          <w:szCs w:val="22"/>
        </w:rPr>
        <w:fldChar w:fldCharType="separate"/>
      </w:r>
      <w:r w:rsidR="006722F5" w:rsidRPr="006722F5">
        <w:t xml:space="preserve">(Dewaele </w:t>
      </w:r>
      <w:r w:rsidR="006722F5" w:rsidRPr="006722F5">
        <w:rPr>
          <w:i/>
          <w:iCs/>
        </w:rPr>
        <w:t>et al.</w:t>
      </w:r>
      <w:r w:rsidR="006722F5" w:rsidRPr="006722F5">
        <w:t>, 2015)</w:t>
      </w:r>
      <w:r w:rsidR="006722F5">
        <w:rPr>
          <w:szCs w:val="22"/>
        </w:rPr>
        <w:fldChar w:fldCharType="end"/>
      </w:r>
      <w:r w:rsidR="00345AC9" w:rsidRPr="00345AC9">
        <w:rPr>
          <w:szCs w:val="22"/>
        </w:rPr>
        <w:t>, which provides a lower bound on the maximum pressure reached during the compression</w:t>
      </w:r>
      <w:r w:rsidRPr="00345AC9">
        <w:t>.</w:t>
      </w:r>
      <w:r w:rsidRPr="00345AC9">
        <w:rPr>
          <w:b/>
        </w:rPr>
        <w:t xml:space="preserve"> </w:t>
      </w:r>
      <w:r w:rsidRPr="00345AC9">
        <w:t>The absence of ω-</w:t>
      </w:r>
      <w:proofErr w:type="spellStart"/>
      <w:r w:rsidRPr="00345AC9">
        <w:t>Ti</w:t>
      </w:r>
      <w:proofErr w:type="spellEnd"/>
      <w:r w:rsidRPr="00345AC9">
        <w:t xml:space="preserve"> at ~12 </w:t>
      </w:r>
      <w:proofErr w:type="spellStart"/>
      <w:r w:rsidRPr="00345AC9">
        <w:t>GPa</w:t>
      </w:r>
      <w:proofErr w:type="spellEnd"/>
      <w:r w:rsidRPr="00345AC9">
        <w:t xml:space="preserve"> is surprising, as previous studies reported an onset transition pressure in samples loaded without a PTM ranging from 2-9 </w:t>
      </w:r>
      <w:proofErr w:type="spellStart"/>
      <w:r w:rsidRPr="00345AC9">
        <w:t>GPa</w:t>
      </w:r>
      <w:proofErr w:type="spellEnd"/>
      <w:r w:rsidRPr="00345AC9">
        <w:t xml:space="preserve"> (</w:t>
      </w:r>
      <w:r w:rsidRPr="00345AC9">
        <w:fldChar w:fldCharType="begin"/>
      </w:r>
      <w:r w:rsidR="006722F5">
        <w:instrText xml:space="preserve"> ADDIN ZOTERO_ITEM CSL_CITATION {"citationID":"pGuvcVxw","properties":{"formattedCitation":"(Errandonea {\\i{}et al.}, 2005)","plainCitation":"(Errandonea et al., 2005)","noteIndex":0},"citationItems":[{"id":"k3ssTldU/fhfT6opf","uris":["http://zotero.org/users/local/uJBp8IoE/items/25W56SWU"],"uri":["http://zotero.org/users/local/uJBp8IoE/items/25W56SWU"],"itemData":{"id":"MaEc7TzS/UFWbQkX3","type":"article-journal","abstract":"The effects of uniaxial stress on the pressure-induced α→ω transition in pure titanium (Ti) are investigated by means of angle dispersive X-ray diffraction in a diamond-anvil cell. Experiments under four different pressure environments reveal that: (1) the onset of the transition depends on the pressure medium used, going from 4.9GPa (no pressure medium) to 10.5GPa (argon pressure medium); (2) the α and ω phases coexist over a rather large pressure range, which depends on the pressure medium employed; (3) the hysteresis and quenchability of the ω phase is affected by differences in the sample pressure environment; and (4) a short-term laser heating of Ti lowers the α→ω transition pressure. Possible transition mechanisms are discussed in the light of the present results, which clearly demonstrate the influence of uniaxial stress in the α→ω transition.","container-title":"Physica B: Condensed Matter","DOI":"10.1016/j.physb.2004.10.030","ISSN":"0921-4526","issue":"1","journalAbbreviation":"Physica B: Condensed Matter","language":"en","page":"116-125","source":"ScienceDirect","title":"Pressure-induced α→ω transition in titanium metal: a systematic study of the effects of uniaxial stress","title-short":"Pressure-induced α→ω transition in titanium metal","volume":"355","author":[{"family":"Errandonea","given":"Daniel"},{"family":"Meng","given":"Y."},{"family":"Somayazulu","given":"M."},{"family":"Häusermann","given":"D."}],"issued":{"date-parts":[["2005",1,31]]}}}],"schema":"https://github.com/citation-style-language/schema/raw/master/csl-citation.json"} </w:instrText>
      </w:r>
      <w:r w:rsidRPr="00345AC9">
        <w:fldChar w:fldCharType="separate"/>
      </w:r>
      <w:r w:rsidRPr="00345AC9">
        <w:t xml:space="preserve">(Errandonea </w:t>
      </w:r>
      <w:r w:rsidRPr="00345AC9">
        <w:rPr>
          <w:i/>
          <w:iCs/>
        </w:rPr>
        <w:t>et al.</w:t>
      </w:r>
      <w:r w:rsidRPr="00345AC9">
        <w:t>, 2005)</w:t>
      </w:r>
      <w:r w:rsidRPr="00345AC9">
        <w:fldChar w:fldCharType="end"/>
      </w:r>
      <w:r w:rsidRPr="00345AC9">
        <w:t xml:space="preserve"> and references therein). However, the stress state of this sample is not well defined, as the limited 2θ coverage of the AGIPD prevents its determination</w:t>
      </w:r>
      <w:r>
        <w:t xml:space="preserve"> using</w:t>
      </w:r>
      <w:r w:rsidRPr="004742BD">
        <w:t xml:space="preserve"> standard methods such as a line-shift analysis </w:t>
      </w:r>
      <w:r>
        <w:fldChar w:fldCharType="begin"/>
      </w:r>
      <w:r w:rsidR="006722F5">
        <w:instrText xml:space="preserve"> ADDIN ZOTERO_ITEM CSL_CITATION {"citationID":"oTniWjVe","properties":{"formattedCitation":"(Singh {\\i{}et al.}, 1998)","plainCitation":"(Singh et al., 1998)","noteIndex":0},"citationItems":[{"id":56,"uris":["http://zotero.org/users/local/dwaXvkNj/items/MRBX6RGK"],"uri":["http://zotero.org/users/local/dwaXvkNj/items/MRBX6RGK"],"itemData":{"id":56,"type":"article-journal","title":"Analysis of lattice strains measured under nonhydrostatic pressure","container-title":"Journal of Applied Physics","page":"7567-7575","volume":"83","issue":"12","source":"aip.scitation.org (Atypon)","DOI":"10.1063/1.367872","ISSN":"0021-8979","journalAbbreviation":"J. Appl. Phys.","author":[{"family":"Singh","given":"Anil K."},{"family":"Balasingh","given":"C."},{"family":"Mao","given":"Ho-kwang"},{"family":"Hemley","given":"Russell J."},{"family":"Shu","given":"Jinfu"}],"issued":{"date-parts":[["1998",6,15]]}}}],"schema":"https://github.com/citation-style-language/schema/raw/master/csl-citation.json"} </w:instrText>
      </w:r>
      <w:r>
        <w:fldChar w:fldCharType="separate"/>
      </w:r>
      <w:r w:rsidRPr="004742BD">
        <w:t xml:space="preserve">(Singh </w:t>
      </w:r>
      <w:r w:rsidRPr="004742BD">
        <w:rPr>
          <w:i/>
          <w:iCs/>
        </w:rPr>
        <w:t>et al.</w:t>
      </w:r>
      <w:r w:rsidRPr="004742BD">
        <w:t>, 1998)</w:t>
      </w:r>
      <w:r>
        <w:fldChar w:fldCharType="end"/>
      </w:r>
      <w:r w:rsidRPr="004742BD">
        <w:t xml:space="preserve">. Further experiments are required to further constrain the extent of over-pressurization in </w:t>
      </w:r>
      <w:proofErr w:type="spellStart"/>
      <w:r w:rsidRPr="004742BD">
        <w:t>Ti</w:t>
      </w:r>
      <w:proofErr w:type="spellEnd"/>
      <w:r w:rsidRPr="004742BD">
        <w:t xml:space="preserve"> samples with a well-defined stress state, shifting the X-ray window to higher pressures to also look at the phase coexistence region.  </w:t>
      </w:r>
    </w:p>
    <w:p w14:paraId="2F3E0B5F" w14:textId="24F222FE" w:rsidR="00A20AFF" w:rsidRDefault="00875749" w:rsidP="00A20AFF">
      <w:pPr>
        <w:pStyle w:val="IUCrbodytext"/>
        <w:jc w:val="center"/>
      </w:pPr>
      <w:r>
        <w:rPr>
          <w:noProof/>
        </w:rPr>
        <w:lastRenderedPageBreak/>
        <w:drawing>
          <wp:inline distT="0" distB="0" distL="0" distR="0" wp14:anchorId="78351EA5" wp14:editId="08B717B7">
            <wp:extent cx="4260045" cy="6317384"/>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62227" cy="6320620"/>
                    </a:xfrm>
                    <a:prstGeom prst="rect">
                      <a:avLst/>
                    </a:prstGeom>
                  </pic:spPr>
                </pic:pic>
              </a:graphicData>
            </a:graphic>
          </wp:inline>
        </w:drawing>
      </w:r>
    </w:p>
    <w:p w14:paraId="7A47126D" w14:textId="77777777" w:rsidR="00A20AFF" w:rsidRDefault="00A20AFF" w:rsidP="00A20AFF">
      <w:pPr>
        <w:pStyle w:val="IUCrfigurecaption"/>
        <w:rPr>
          <w:color w:val="000000" w:themeColor="text1"/>
        </w:rPr>
      </w:pPr>
      <w:r>
        <w:rPr>
          <w:color w:val="000000" w:themeColor="text1"/>
        </w:rPr>
        <w:t xml:space="preserve">Dynamic compression of </w:t>
      </w:r>
      <w:proofErr w:type="spellStart"/>
      <w:r>
        <w:rPr>
          <w:color w:val="000000" w:themeColor="text1"/>
        </w:rPr>
        <w:t>Ti</w:t>
      </w:r>
      <w:proofErr w:type="spellEnd"/>
      <w:r>
        <w:rPr>
          <w:color w:val="000000" w:themeColor="text1"/>
        </w:rPr>
        <w:t>. (a) Selected integrated diffraction patterns collected during the ramp, (b) integrated XRD data, (c)</w:t>
      </w:r>
      <w:r w:rsidRPr="00B72097">
        <w:t xml:space="preserve"> </w:t>
      </w:r>
      <w:r>
        <w:t>unit cell volume of α-</w:t>
      </w:r>
      <w:proofErr w:type="spellStart"/>
      <w:r>
        <w:t>Ti</w:t>
      </w:r>
      <w:proofErr w:type="spellEnd"/>
      <w:r>
        <w:t xml:space="preserve">, </w:t>
      </w:r>
      <w:r>
        <w:rPr>
          <w:color w:val="000000" w:themeColor="text1"/>
        </w:rPr>
        <w:t>and (d) voltage applied to the piezo actuator and sample pressure</w:t>
      </w:r>
      <w:r>
        <w:t xml:space="preserve"> as a function of time.</w:t>
      </w:r>
      <w:r>
        <w:rPr>
          <w:color w:val="000000" w:themeColor="text1"/>
        </w:rPr>
        <w:t xml:space="preserve"> In (a) and (b), </w:t>
      </w:r>
      <w:r w:rsidRPr="00BE653C">
        <w:rPr>
          <w:b/>
          <w:color w:val="000000" w:themeColor="text1"/>
        </w:rPr>
        <w:t>G</w:t>
      </w:r>
      <w:r>
        <w:rPr>
          <w:color w:val="000000" w:themeColor="text1"/>
        </w:rPr>
        <w:t xml:space="preserve"> indicates reflections from the gasket. Error bars are shown for every 20</w:t>
      </w:r>
      <w:r w:rsidRPr="00B72863">
        <w:rPr>
          <w:color w:val="000000" w:themeColor="text1"/>
          <w:vertAlign w:val="superscript"/>
        </w:rPr>
        <w:t>th</w:t>
      </w:r>
      <w:r>
        <w:rPr>
          <w:color w:val="000000" w:themeColor="text1"/>
        </w:rPr>
        <w:t xml:space="preserve"> data point in (c).</w:t>
      </w:r>
    </w:p>
    <w:p w14:paraId="139AD46A" w14:textId="77777777" w:rsidR="00A20AFF" w:rsidRPr="003A5173" w:rsidRDefault="00A20AFF" w:rsidP="00A20AFF">
      <w:pPr>
        <w:pStyle w:val="IUCrbodytext"/>
      </w:pPr>
    </w:p>
    <w:p w14:paraId="35D3A0E1" w14:textId="77777777" w:rsidR="00A20AFF" w:rsidRDefault="00A20AFF" w:rsidP="00A20AFF">
      <w:pPr>
        <w:pStyle w:val="IUCrheading2"/>
        <w:numPr>
          <w:ilvl w:val="1"/>
          <w:numId w:val="34"/>
        </w:numPr>
        <w:textAlignment w:val="auto"/>
      </w:pPr>
      <w:r>
        <w:t>Science case 3: Dynamic compression of N</w:t>
      </w:r>
      <w:r w:rsidRPr="001A3FAB">
        <w:rPr>
          <w:vertAlign w:val="subscript"/>
        </w:rPr>
        <w:t>2</w:t>
      </w:r>
      <w:r>
        <w:rPr>
          <w:vertAlign w:val="subscript"/>
        </w:rPr>
        <w:t xml:space="preserve"> </w:t>
      </w:r>
    </w:p>
    <w:p w14:paraId="12CF9E53" w14:textId="175168AB" w:rsidR="00A20AFF" w:rsidRDefault="00A20AFF" w:rsidP="00A20AFF">
      <w:pPr>
        <w:pStyle w:val="IUCrbodytext"/>
      </w:pPr>
      <w:r w:rsidRPr="004742BD">
        <w:t>N</w:t>
      </w:r>
      <w:r w:rsidRPr="004742BD">
        <w:rPr>
          <w:vertAlign w:val="subscript"/>
        </w:rPr>
        <w:t>2</w:t>
      </w:r>
      <w:r w:rsidRPr="004742BD">
        <w:t xml:space="preserve"> exhibits a striking degree of polymorphism at high pressures, adopting seven different solid molecular phases (</w:t>
      </w:r>
      <w:r>
        <w:t>α</w:t>
      </w:r>
      <w:r w:rsidRPr="004742BD">
        <w:t xml:space="preserve">, </w:t>
      </w:r>
      <w:r>
        <w:t>β</w:t>
      </w:r>
      <w:r w:rsidRPr="004742BD">
        <w:t xml:space="preserve">, </w:t>
      </w:r>
      <w:r>
        <w:t>γ</w:t>
      </w:r>
      <w:r w:rsidRPr="004742BD">
        <w:t xml:space="preserve">, </w:t>
      </w:r>
      <w:r>
        <w:t>δ</w:t>
      </w:r>
      <w:r w:rsidRPr="004742BD">
        <w:t xml:space="preserve">, </w:t>
      </w:r>
      <w:r>
        <w:t>δ</w:t>
      </w:r>
      <w:r w:rsidRPr="004742BD">
        <w:t xml:space="preserve">*, </w:t>
      </w:r>
      <w:r>
        <w:t>ε</w:t>
      </w:r>
      <w:r w:rsidRPr="004742BD">
        <w:t xml:space="preserve">, and </w:t>
      </w:r>
      <w:r>
        <w:t>ζ</w:t>
      </w:r>
      <w:r w:rsidRPr="004742BD">
        <w:t xml:space="preserve">) below 100 </w:t>
      </w:r>
      <w:proofErr w:type="spellStart"/>
      <w:r w:rsidRPr="004742BD">
        <w:t>GPa</w:t>
      </w:r>
      <w:proofErr w:type="spellEnd"/>
      <w:r w:rsidRPr="004742BD">
        <w:t>. These phases are characterised by triple-</w:t>
      </w:r>
      <w:r w:rsidRPr="004742BD">
        <w:lastRenderedPageBreak/>
        <w:t>bonded N</w:t>
      </w:r>
      <w:r w:rsidRPr="004742BD">
        <w:rPr>
          <w:vertAlign w:val="subscript"/>
        </w:rPr>
        <w:t>2</w:t>
      </w:r>
      <w:r w:rsidRPr="004742BD">
        <w:t xml:space="preserve"> molecules and weak, intramolecular Van der Waals bonding, with different degrees of lattice symmetry </w:t>
      </w:r>
      <w:r w:rsidRPr="004742BD">
        <w:rPr>
          <w:rStyle w:val="IUCrbodytextChar"/>
          <w:rFonts w:eastAsiaTheme="minorHAnsi"/>
        </w:rPr>
        <w:t xml:space="preserve">and orientational order. At higher pressures, structural changes are accompanied by changes in the chemical bonding such as transformations to amorphous </w:t>
      </w:r>
      <w:r w:rsidRPr="00A602D9">
        <w:rPr>
          <w:rStyle w:val="IUCrbodytextChar"/>
          <w:rFonts w:eastAsiaTheme="minorHAnsi"/>
        </w:rPr>
        <w:fldChar w:fldCharType="begin"/>
      </w:r>
      <w:r w:rsidR="006722F5">
        <w:rPr>
          <w:rStyle w:val="IUCrbodytextChar"/>
          <w:rFonts w:eastAsiaTheme="minorHAnsi"/>
        </w:rPr>
        <w:instrText xml:space="preserve"> ADDIN ZOTERO_ITEM CSL_CITATION {"citationID":"QH5iQgl2","properties":{"formattedCitation":"(Gregoryanz {\\i{}et al.}, 2001)","plainCitation":"(Gregoryanz et al., 2001)","noteIndex":0},"citationItems":[{"id":"k3ssTldU/5LYKOkQ6","uris":["http://zotero.org/users/local/uJBp8IoE/items/ZDQTWPSD"],"uri":["http://zotero.org/users/local/uJBp8IoE/items/ZDQTWPSD"],"itemData":{"id":280,"type":"article-journal","abstract":"The phase diagram and stability limits of diatomic solid nitrogen have been explored in a wide pressure-temperature range by several optical spectroscopic techniques. A narrow-gap semiconducting phase η has been found to exist in a range of 80–270 GPa and 10–510 K. The vibrational and optical properties of the η phase produced under these conditions indicate that it is largely amorphous and back transforms to a new molecular phase. The band gap of the η phase is found to decrease with pressure indicating possible metallization by band overlap above 280 GPa.","container-title":"Physical Review B","DOI":"10.1103/PhysRevB.64.052103","issue":"5","journalAbbreviation":"Phys. Rev. B","note":"publisher: American Physical Society","page":"052103","source":"APS","title":"High-pressure amorphous nitrogen","volume":"64","author":[{"family":"Gregoryanz","given":"Eugene"},{"family":"Goncharov","given":"Alexander F."},{"family":"Hemley","given":"Russell J."},{"family":"Mao","given":"Ho-kwang"}],"issued":{"date-parts":[["2001",7,13]]}}}],"schema":"https://github.com/citation-style-language/schema/raw/master/csl-citation.json"} </w:instrText>
      </w:r>
      <w:r w:rsidRPr="00A602D9">
        <w:rPr>
          <w:rStyle w:val="IUCrbodytextChar"/>
          <w:rFonts w:eastAsiaTheme="minorHAnsi"/>
        </w:rPr>
        <w:fldChar w:fldCharType="separate"/>
      </w:r>
      <w:r w:rsidRPr="000266C4">
        <w:t xml:space="preserve">(Gregoryanz </w:t>
      </w:r>
      <w:r w:rsidRPr="000266C4">
        <w:rPr>
          <w:i/>
          <w:iCs/>
        </w:rPr>
        <w:t>et al.</w:t>
      </w:r>
      <w:r w:rsidRPr="000266C4">
        <w:t>, 2001)</w:t>
      </w:r>
      <w:r w:rsidRPr="00A602D9">
        <w:rPr>
          <w:rStyle w:val="IUCrbodytextChar"/>
          <w:rFonts w:eastAsiaTheme="minorHAnsi"/>
        </w:rPr>
        <w:fldChar w:fldCharType="end"/>
      </w:r>
      <w:r w:rsidRPr="004742BD">
        <w:rPr>
          <w:rStyle w:val="IUCrbodytextChar"/>
          <w:rFonts w:eastAsiaTheme="minorHAnsi"/>
        </w:rPr>
        <w:t xml:space="preserve"> and polymeric </w:t>
      </w:r>
      <w:r w:rsidRPr="00A602D9">
        <w:rPr>
          <w:rStyle w:val="IUCrbodytextChar"/>
          <w:rFonts w:eastAsiaTheme="minorHAnsi"/>
        </w:rPr>
        <w:fldChar w:fldCharType="begin"/>
      </w:r>
      <w:r w:rsidR="006722F5">
        <w:rPr>
          <w:rStyle w:val="IUCrbodytextChar"/>
          <w:rFonts w:eastAsiaTheme="minorHAnsi"/>
        </w:rPr>
        <w:instrText xml:space="preserve"> ADDIN ZOTERO_ITEM CSL_CITATION {"citationID":"EvaopU4a","properties":{"formattedCitation":"(Eremets {\\i{}et al.}, 2004; Tomasino {\\i{}et al.}, 2014)","plainCitation":"(Eremets et al., 2004; Tomasino et al., 2014)","noteIndex":0},"citationItems":[{"id":142,"uris":["http://zotero.org/users/local/dwaXvkNj/items/2GPP68MY"],"uri":["http://zotero.org/users/local/dwaXvkNj/items/2GPP68MY"],"itemData":{"id":142,"type":"article-journal","title":"Single-bonded cubic form of nitrogen","container-title":"Nature Materials","page":"558-563","volume":"3","issue":"8","source":"www.nature.com","abstract":"Nitrogen usually consists of molecules where two atoms are strongly triple-bonded. Here, we report on an allotropic form of nitrogen where all atoms are connected with single covalent bonds, similar to carbon atoms in diamond. The compound was synthesized directly from molecular nitrogen at temperatures above 2,000 K and pressures above 110 GPa using a laser-heated diamond cell. From X-ray and Raman scattering we have identified this as the long-sought-after polymeric nitrogen with the theoretically predicted cubic gauche structure (cg-N). This cubic phase has not been observed previously in any element. The phase is a stiff substance with bulk modulus ≥300 GPa, characteristic of strong covalent solids. The polymeric nitrogen is metastable, and contrasts with previously reported amorphous non-molecular nitrogen, which is most likely a mixture of small clusters of non-molecular phases. The cg-N represents a new class of single-bonded nitrogen materials with unique properties such as energy capacity: more than five times that of the most powerfully energetic materials.","DOI":"10.1038/nmat1146","ISSN":"1476-4660","journalAbbreviation":"Nat. Mater.","language":"en","author":[{"family":"Eremets","given":"Mikhail I."},{"family":"Gavriliuk","given":"Alexander G."},{"family":"Trojan","given":"Ivan A."},{"family":"Dzivenko","given":"Dymitro A."},{"family":"Boehler","given":"Reinhard"}],"issued":{"date-parts":[["2004",8]]}}},{"id":"k3ssTldU/TmQutAIB","uris":["http://zotero.org/users/local/uJBp8IoE/items/N82G6U8T"],"uri":["http://zotero.org/users/local/uJBp8IoE/items/N82G6U8T"],"itemData":{"id":288,"type":"article-journal","abstract":"We present the discovery of a novel nitrogen phase synthesized using laser-heated diamond anvil cells at pressures between 120–180 GPa well above the stability field of cubic gauche (cg)−N. This new phase is characterized by its singly bonded, layered polymeric (LP) structure similar to the predicted Pba2 and two colossal Raman bands (at </w:instrText>
      </w:r>
      <w:r w:rsidR="006722F5">
        <w:rPr>
          <w:rStyle w:val="IUCrbodytextChar"/>
          <w:rFonts w:ascii="Cambria Math" w:eastAsiaTheme="minorHAnsi" w:hAnsi="Cambria Math" w:cs="Cambria Math"/>
        </w:rPr>
        <w:instrText>∼</w:instrText>
      </w:r>
      <w:r w:rsidR="006722F5">
        <w:rPr>
          <w:rStyle w:val="IUCrbodytextChar"/>
          <w:rFonts w:eastAsiaTheme="minorHAnsi"/>
        </w:rPr>
        <w:instrText xml:space="preserve">1000 and 1300 cm−1 at 150 GPa), arising from two groups of highly polarized nitrogen atoms in the bulk and surface of the layer, respectively. The present result also provides a new constraint for the nitrogen phase diagram, highlighting an unusual symmetry-lowering 3D cg−N to 2D LP-N transition and thereby the enhanced electrostatic contribution to the stabilization of this densely packed LP-N (ρ=4.85 g/cm3 at 120 GPa).","container-title":"Physical Review Letters","DOI":"10.1103/PhysRevLett.113.205502","issue":"20","journalAbbreviation":"Phys. Rev. Lett.","note":"publisher: American Physical Society","page":"205502","source":"APS","title":"Pressure-Induced Symmetry-Lowering Transition in Dense Nitrogen to Layered Polymeric Nitrogen (LP-N) with Colossal Raman Intensity","volume":"113","author":[{"family":"Tomasino","given":"Dane"},{"family":"Kim","given":"Minseob"},{"family":"Smith","given":"Jesse"},{"family":"Yoo","given":"Choong-Shik"}],"issued":{"date-parts":[["2014",11,12]]}}}],"schema":"https://github.com/citation-style-language/schema/raw/master/csl-citation.json"} </w:instrText>
      </w:r>
      <w:r w:rsidRPr="00A602D9">
        <w:rPr>
          <w:rStyle w:val="IUCrbodytextChar"/>
          <w:rFonts w:eastAsiaTheme="minorHAnsi"/>
        </w:rPr>
        <w:fldChar w:fldCharType="separate"/>
      </w:r>
      <w:r w:rsidRPr="003C0C4C">
        <w:t xml:space="preserve">(Eremets </w:t>
      </w:r>
      <w:r w:rsidRPr="003C0C4C">
        <w:rPr>
          <w:i/>
          <w:iCs/>
        </w:rPr>
        <w:t>et al.</w:t>
      </w:r>
      <w:r w:rsidRPr="003C0C4C">
        <w:t xml:space="preserve">, 2004; Tomasino </w:t>
      </w:r>
      <w:r w:rsidRPr="003C0C4C">
        <w:rPr>
          <w:i/>
          <w:iCs/>
        </w:rPr>
        <w:t>et al.</w:t>
      </w:r>
      <w:r w:rsidRPr="003C0C4C">
        <w:t>, 2014)</w:t>
      </w:r>
      <w:r w:rsidRPr="00A602D9">
        <w:rPr>
          <w:rStyle w:val="IUCrbodytextChar"/>
          <w:rFonts w:eastAsiaTheme="minorHAnsi"/>
        </w:rPr>
        <w:fldChar w:fldCharType="end"/>
      </w:r>
      <w:r w:rsidRPr="004742BD">
        <w:rPr>
          <w:rStyle w:val="IUCrbodytextChar"/>
          <w:rFonts w:eastAsiaTheme="minorHAnsi"/>
        </w:rPr>
        <w:t xml:space="preserve"> structures which are associated with a large hysteresis </w:t>
      </w:r>
      <w:r w:rsidRPr="00A602D9">
        <w:rPr>
          <w:rStyle w:val="IUCrbodytextChar"/>
          <w:rFonts w:eastAsiaTheme="minorHAnsi"/>
        </w:rPr>
        <w:fldChar w:fldCharType="begin"/>
      </w:r>
      <w:r w:rsidR="006722F5">
        <w:rPr>
          <w:rStyle w:val="IUCrbodytextChar"/>
          <w:rFonts w:eastAsiaTheme="minorHAnsi"/>
        </w:rPr>
        <w:instrText xml:space="preserve"> ADDIN ZOTERO_ITEM CSL_CITATION {"citationID":"zmCyMgv5","properties":{"formattedCitation":"(Eremets {\\i{}et al.}, 2001)","plainCitation":"(Eremets et al., 2001)","noteIndex":0},"citationItems":[{"id":"k3ssTldU/IsZkwOIH","uris":["http://zotero.org/users/local/uJBp8IoE/items/M47C6NPE"],"uri":["http://zotero.org/users/local/uJBp8IoE/items/M47C6NPE"],"itemData":{"id":291,"type":"article-journal","abstract":"The triple bond of diatomic nitrogen has among the greatest binding energies of any molecule. At low temperatures and pressures, nitrogen forms a molecular crystal in which these strong bonds co-exist with weak van der Waals interactions between molecules, producing an insulator with a large band gap1. As the pressure is raised on molecular crystals, intermolecular interactions increase and the molecules eventually dissociate to form monoatomic metallic solids, as was first predicted for hydrogen2. Theory predicts that, in a pressure range between 50 and 94 GPa, diatomic nitrogen can be transformed into a non-molecular framework or polymeric structure with potential use as a high-energy-density material3,4,5. Here we show that the non-molecular phase of nitrogen is semiconducting up to at least 240 GPa, at which pressure the energy gap has decreased to 0.4 eV. At 300 K, this transition from insulating to semiconducting behaviour starts at a pressure of approximately 140 GPa, but shifts to much higher pressure with decreasing temperature. The transition also exhibits remarkably large hysteresis with an equilibrium transition estimated to be near 100 GPa. Moreover, we have succeeded in recovering the non-molecular phase of nitrogen at ambient pressure (at temperatures below 100 K), which could be of importance for practical use.","container-title":"Nature","DOI":"10.1038/35075531","ISSN":"1476-4687","issue":"6834","language":"en","note":"number: 6834\nPrimary_atype: Research\npublisher: Nature Publishing Group","page":"170-174","source":"www.nature.com","title":"Semiconducting non-molecular nitrogen up to 240 GPa and its low-pressure stability","volume":"411","author":[{"family":"Eremets","given":"Mikhail I."},{"family":"Hemley","given":"Russell J."},{"family":"Mao","given":"Ho-kwang"},{"family":"Gregoryanz","given":"Eugene"}],"issued":{"date-parts":[["2001",5]]}}}],"schema":"https://github.com/citation-style-language/schema/raw/master/csl-citation.json"} </w:instrText>
      </w:r>
      <w:r w:rsidRPr="00A602D9">
        <w:rPr>
          <w:rStyle w:val="IUCrbodytextChar"/>
          <w:rFonts w:eastAsiaTheme="minorHAnsi"/>
        </w:rPr>
        <w:fldChar w:fldCharType="separate"/>
      </w:r>
      <w:r w:rsidRPr="000266C4">
        <w:t xml:space="preserve">(Eremets </w:t>
      </w:r>
      <w:r w:rsidRPr="000266C4">
        <w:rPr>
          <w:i/>
          <w:iCs/>
        </w:rPr>
        <w:t>et al.</w:t>
      </w:r>
      <w:r w:rsidRPr="000266C4">
        <w:t>, 2001)</w:t>
      </w:r>
      <w:r w:rsidRPr="00A602D9">
        <w:rPr>
          <w:rStyle w:val="IUCrbodytextChar"/>
          <w:rFonts w:eastAsiaTheme="minorHAnsi"/>
        </w:rPr>
        <w:fldChar w:fldCharType="end"/>
      </w:r>
      <w:r w:rsidRPr="004742BD">
        <w:rPr>
          <w:rStyle w:val="IUCrbodytextChar"/>
          <w:rFonts w:eastAsiaTheme="minorHAnsi"/>
        </w:rPr>
        <w:t xml:space="preserve"> and metastability </w:t>
      </w:r>
      <w:r w:rsidRPr="00A602D9">
        <w:rPr>
          <w:rStyle w:val="IUCrbodytextChar"/>
          <w:rFonts w:eastAsiaTheme="minorHAnsi"/>
        </w:rPr>
        <w:fldChar w:fldCharType="begin"/>
      </w:r>
      <w:r w:rsidR="006722F5">
        <w:rPr>
          <w:rStyle w:val="IUCrbodytextChar"/>
          <w:rFonts w:eastAsiaTheme="minorHAnsi"/>
        </w:rPr>
        <w:instrText xml:space="preserve"> ADDIN ZOTERO_ITEM CSL_CITATION {"citationID":"IifYFxko","properties":{"formattedCitation":"(Gregoryanz {\\i{}et al.}, 2001)","plainCitation":"(Gregoryanz et al., 2001)","noteIndex":0},"citationItems":[{"id":"k3ssTldU/5LYKOkQ6","uris":["http://zotero.org/users/local/uJBp8IoE/items/ZDQTWPSD"],"uri":["http://zotero.org/users/local/uJBp8IoE/items/ZDQTWPSD"],"itemData":{"id":280,"type":"article-journal","abstract":"The phase diagram and stability limits of diatomic solid nitrogen have been explored in a wide pressure-temperature range by several optical spectroscopic techniques. A narrow-gap semiconducting phase η has been found to exist in a range of 80–270 GPa and 10–510 K. The vibrational and optical properties of the η phase produced under these conditions indicate that it is largely amorphous and back transforms to a new molecular phase. The band gap of the η phase is found to decrease with pressure indicating possible metallization by band overlap above 280 GPa.","container-title":"Physical Review B","DOI":"10.1103/PhysRevB.64.052103","issue":"5","journalAbbreviation":"Phys. Rev. B","note":"publisher: American Physical Society","page":"052103","source":"APS","title":"High-pressure amorphous nitrogen","volume":"64","author":[{"family":"Gregoryanz","given":"Eugene"},{"family":"Goncharov","given":"Alexander F."},{"family":"Hemley","given":"Russell J."},{"family":"Mao","given":"Ho-kwang"}],"issued":{"date-parts":[["2001",7,13]]}}}],"schema":"https://github.com/citation-style-language/schema/raw/master/csl-citation.json"} </w:instrText>
      </w:r>
      <w:r w:rsidRPr="00A602D9">
        <w:rPr>
          <w:rStyle w:val="IUCrbodytextChar"/>
          <w:rFonts w:eastAsiaTheme="minorHAnsi"/>
        </w:rPr>
        <w:fldChar w:fldCharType="separate"/>
      </w:r>
      <w:r w:rsidRPr="000266C4">
        <w:t xml:space="preserve">(Gregoryanz </w:t>
      </w:r>
      <w:r w:rsidRPr="000266C4">
        <w:rPr>
          <w:i/>
          <w:iCs/>
        </w:rPr>
        <w:t>et al.</w:t>
      </w:r>
      <w:r w:rsidRPr="000266C4">
        <w:t>, 2001)</w:t>
      </w:r>
      <w:r w:rsidRPr="00A602D9">
        <w:rPr>
          <w:rStyle w:val="IUCrbodytextChar"/>
          <w:rFonts w:eastAsiaTheme="minorHAnsi"/>
        </w:rPr>
        <w:fldChar w:fldCharType="end"/>
      </w:r>
      <w:r w:rsidRPr="004742BD">
        <w:rPr>
          <w:rStyle w:val="IUCrbodytextChar"/>
          <w:rFonts w:eastAsiaTheme="minorHAnsi"/>
        </w:rPr>
        <w:t>. The ability to collect time-</w:t>
      </w:r>
      <w:r w:rsidRPr="004742BD">
        <w:t>resolved XRD of fast compressed N</w:t>
      </w:r>
      <w:r w:rsidRPr="004742BD">
        <w:rPr>
          <w:vertAlign w:val="subscript"/>
        </w:rPr>
        <w:t>2</w:t>
      </w:r>
      <w:r w:rsidRPr="004742BD">
        <w:t xml:space="preserve"> therefore offers the unique opportunity to study the structural evolution and phase transition kinetics in molecular solids at low pressures, and the </w:t>
      </w:r>
      <w:r>
        <w:t>compression</w:t>
      </w:r>
      <w:r w:rsidRPr="004742BD">
        <w:t>-rate dependence of molecular to non-molecular transitions at higher pressures. The compression experiment described here focussed on the low-pressure behaviour, specifically the pressure-induced solidification of N</w:t>
      </w:r>
      <w:r w:rsidRPr="004742BD">
        <w:rPr>
          <w:vertAlign w:val="subscript"/>
        </w:rPr>
        <w:t>2</w:t>
      </w:r>
      <w:r w:rsidRPr="004742BD">
        <w:t>.</w:t>
      </w:r>
    </w:p>
    <w:p w14:paraId="41F98DAD" w14:textId="0938F527" w:rsidR="00A20AFF" w:rsidRDefault="00A20AFF" w:rsidP="00A20AFF">
      <w:pPr>
        <w:pStyle w:val="IUCrbodytext"/>
      </w:pPr>
      <w:r w:rsidRPr="004742BD">
        <w:t>The N</w:t>
      </w:r>
      <w:r w:rsidRPr="004742BD">
        <w:rPr>
          <w:vertAlign w:val="subscript"/>
        </w:rPr>
        <w:t>2</w:t>
      </w:r>
      <w:r w:rsidRPr="004742BD">
        <w:t xml:space="preserve"> sample was loaded into an LLNL-type DAC equipped with diamonds with 500 µm culets. The DAC was prepared using a </w:t>
      </w:r>
      <w:proofErr w:type="gramStart"/>
      <w:r w:rsidRPr="004742BD">
        <w:t>stainless steel</w:t>
      </w:r>
      <w:proofErr w:type="gramEnd"/>
      <w:r w:rsidRPr="004742BD">
        <w:t xml:space="preserve"> gasket with a </w:t>
      </w:r>
      <w:r>
        <w:t>30-40</w:t>
      </w:r>
      <w:r w:rsidRPr="004742BD">
        <w:t xml:space="preserve"> µm thick, </w:t>
      </w:r>
      <w:r>
        <w:t>150</w:t>
      </w:r>
      <w:r w:rsidRPr="004742BD">
        <w:t xml:space="preserve"> µm diameter sample chamber, and </w:t>
      </w:r>
      <w:r w:rsidRPr="004742BD">
        <w:rPr>
          <w:rStyle w:val="IUCrbodytextChar"/>
          <w:rFonts w:eastAsiaTheme="minorHAnsi"/>
        </w:rPr>
        <w:t xml:space="preserve">a small grain of </w:t>
      </w:r>
      <w:proofErr w:type="spellStart"/>
      <w:r w:rsidRPr="004742BD">
        <w:rPr>
          <w:rStyle w:val="IUCrbodytextChar"/>
          <w:rFonts w:eastAsiaTheme="minorHAnsi"/>
        </w:rPr>
        <w:t>LiF</w:t>
      </w:r>
      <w:proofErr w:type="spellEnd"/>
      <w:r w:rsidRPr="004742BD">
        <w:rPr>
          <w:rStyle w:val="IUCrbodytextChar"/>
          <w:rFonts w:eastAsiaTheme="minorHAnsi"/>
        </w:rPr>
        <w:t xml:space="preserve"> </w:t>
      </w:r>
      <w:r>
        <w:rPr>
          <w:rStyle w:val="IUCrbodytextChar"/>
          <w:rFonts w:eastAsiaTheme="minorHAnsi"/>
        </w:rPr>
        <w:t>was</w:t>
      </w:r>
      <w:r w:rsidRPr="004742BD">
        <w:rPr>
          <w:rStyle w:val="IUCrbodytextChar"/>
          <w:rFonts w:eastAsiaTheme="minorHAnsi"/>
        </w:rPr>
        <w:t xml:space="preserve"> added as </w:t>
      </w:r>
      <w:r>
        <w:rPr>
          <w:rStyle w:val="IUCrbodytextChar"/>
          <w:rFonts w:eastAsiaTheme="minorHAnsi"/>
        </w:rPr>
        <w:t xml:space="preserve">an </w:t>
      </w:r>
      <w:r w:rsidRPr="004742BD">
        <w:rPr>
          <w:rStyle w:val="IUCrbodytextChar"/>
          <w:rFonts w:eastAsiaTheme="minorHAnsi"/>
        </w:rPr>
        <w:t xml:space="preserve">internal </w:t>
      </w:r>
      <w:r>
        <w:rPr>
          <w:rStyle w:val="IUCrbodytextChar"/>
          <w:rFonts w:eastAsiaTheme="minorHAnsi"/>
        </w:rPr>
        <w:t>diffraction</w:t>
      </w:r>
      <w:r w:rsidRPr="004742BD">
        <w:rPr>
          <w:rStyle w:val="IUCrbodytextChar"/>
          <w:rFonts w:eastAsiaTheme="minorHAnsi"/>
        </w:rPr>
        <w:t xml:space="preserve"> standard. </w:t>
      </w:r>
      <w:r>
        <w:rPr>
          <w:rStyle w:val="IUCrbodytextChar"/>
          <w:rFonts w:eastAsiaTheme="minorHAnsi"/>
        </w:rPr>
        <w:t xml:space="preserve">A small ruby sphere was added to the sample chamber to determine the pressure after loading </w:t>
      </w:r>
      <w:r>
        <w:rPr>
          <w:rStyle w:val="IUCrbodytextChar"/>
          <w:rFonts w:eastAsiaTheme="minorHAnsi"/>
        </w:rPr>
        <w:fldChar w:fldCharType="begin"/>
      </w:r>
      <w:r w:rsidR="006722F5">
        <w:rPr>
          <w:rStyle w:val="IUCrbodytextChar"/>
          <w:rFonts w:eastAsiaTheme="minorHAnsi"/>
        </w:rPr>
        <w:instrText xml:space="preserve"> ADDIN ZOTERO_ITEM CSL_CITATION {"citationID":"8v4xPcBm","properties":{"formattedCitation":"(Mao {\\i{}et al.}, 1986)","plainCitation":"(Mao et al., 1986)","noteIndex":0},"citationItems":[{"id":110,"uris":["http://zotero.org/users/local/dwaXvkNj/items/IV62T8UG"],"uri":["http://zotero.org/users/local/dwaXvkNj/items/IV62T8UG"],"itemData":{"id":110,"type":"article-journal","title":"Calibration of the ruby pressure gauge to 800 kbar under quasi-hydrostatic conditions","container-title":"Journal of Geophysical Research: Solid Earth","page":"4673-4676","volume":"91","issue":"B5","source":"Wiley Online Library","abstract":"An improved calibration curve of the pressure shift of the ruby R1 emission line was obtained under quasi-hydrostatic conditions in the diamond-window, high-pressure cell to 800 kbar. Argon was the pressure-transmitting medium. Metallic copper, as a standard, was studied in situ by X ray diffraction. The reference pressure was determined by calibration against known equations of state of the copper sample and by previously obtained data on silver.","DOI":"10.1029/JB091iB05p04673","ISSN":"2156-2202","journalAbbreviation":"J. Geophys. Res. Solid Earth","language":"en","author":[{"family":"Mao","given":"H. K."},{"family":"Xu","given":"J."},{"family":"Bell","given":"P. M."}],"issued":{"date-parts":[["1986"]]}}}],"schema":"https://github.com/citation-style-language/schema/raw/master/csl-citation.json"} </w:instrText>
      </w:r>
      <w:r>
        <w:rPr>
          <w:rStyle w:val="IUCrbodytextChar"/>
          <w:rFonts w:eastAsiaTheme="minorHAnsi"/>
        </w:rPr>
        <w:fldChar w:fldCharType="separate"/>
      </w:r>
      <w:r w:rsidRPr="009B176E">
        <w:t xml:space="preserve">(Mao </w:t>
      </w:r>
      <w:r w:rsidRPr="009B176E">
        <w:rPr>
          <w:i/>
          <w:iCs/>
        </w:rPr>
        <w:t>et al.</w:t>
      </w:r>
      <w:r w:rsidRPr="009B176E">
        <w:t>, 1986)</w:t>
      </w:r>
      <w:r>
        <w:rPr>
          <w:rStyle w:val="IUCrbodytextChar"/>
          <w:rFonts w:eastAsiaTheme="minorHAnsi"/>
        </w:rPr>
        <w:fldChar w:fldCharType="end"/>
      </w:r>
      <w:r>
        <w:rPr>
          <w:rStyle w:val="IUCrbodytextChar"/>
          <w:rFonts w:eastAsiaTheme="minorHAnsi"/>
        </w:rPr>
        <w:t xml:space="preserve">. </w:t>
      </w:r>
      <w:r w:rsidRPr="004742BD">
        <w:t xml:space="preserve">XRD data collected at P02.2 determined a pressure of 1.5 </w:t>
      </w:r>
      <w:proofErr w:type="spellStart"/>
      <w:r w:rsidRPr="004742BD">
        <w:t>GPa</w:t>
      </w:r>
      <w:proofErr w:type="spellEnd"/>
      <w:r w:rsidRPr="004742BD">
        <w:t xml:space="preserve"> based on </w:t>
      </w:r>
      <w:r>
        <w:t xml:space="preserve">the </w:t>
      </w:r>
      <w:proofErr w:type="spellStart"/>
      <w:r>
        <w:t>EoS</w:t>
      </w:r>
      <w:proofErr w:type="spellEnd"/>
      <w:r>
        <w:t xml:space="preserve"> of </w:t>
      </w:r>
      <w:proofErr w:type="spellStart"/>
      <w:r w:rsidRPr="004742BD">
        <w:t>LiF</w:t>
      </w:r>
      <w:proofErr w:type="spellEnd"/>
      <w:r w:rsidRPr="004742BD">
        <w:t xml:space="preserve"> </w:t>
      </w:r>
      <w:r w:rsidRPr="00C42EB8">
        <w:rPr>
          <w:rStyle w:val="IUCrbodytextChar"/>
          <w:rFonts w:eastAsiaTheme="minorHAnsi"/>
        </w:rPr>
        <w:fldChar w:fldCharType="begin"/>
      </w:r>
      <w:r>
        <w:rPr>
          <w:rStyle w:val="IUCrbodytextChar"/>
          <w:rFonts w:eastAsiaTheme="minorHAnsi"/>
        </w:rPr>
        <w:instrText xml:space="preserve"> ADDIN ZOTERO_ITEM CSL_CITATION {"citationID":"K7RTUi9I","properties":{"formattedCitation":"(Dong {\\i{}et al.}, 2014)","plainCitation":"(Dong et al., 2014)","noteIndex":0},"citationItems":[{"id":136,"uris":["http://zotero.org/users/local/dwaXvkNj/items/5DX7YWED"],"uri":["http://zotero.org/users/local/dwaXvkNj/items/5DX7YWED"],"itemData":{"id":136,"type":"article-journal","title":"Compression of lithium fluoride to 92 GPa","container-title":"High Pressure Research","page":"39-48","volume":"34","issue":"1","source":"Taylor and Francis+NEJM","abstract":"The equation of state and compression behavior of lithium fluoride, LiF, have been determined to 92 GPa by X-ray diffraction in a diamond anvil cell. A neon pressure-transmitting medium was used to minimize the effect of differential stress on the sample. Consistent results using multiple pressure standards were obtained. By fitting the pressure–volume data to a Birch–Murnaghan equation of state, the isothermal bulk modulus and its corresponding pressure derivative at zero pressure were determined to be K0=70.1±0.7 GPa, and K′0=4.3±0.1. If the bulk modulus is fixed at 66.2 GPa, a value well constrained by independent elasticity measurements, we obtain K′0=4.6±0.1. The bulk modulus and its pressure derivative obtained from this work resolve the large discrepancy in previously reported values of K0 and K′0 for this material. Consequently, the equation of state of LiF is now sufficiently well constrained to allow its use as a pressure calibrant in high pressure experiments.","DOI":"10.1080/08957959.2013.878932","ISSN":"0895-7959","journalAbbreviation":"High Press. Res.","author":[{"family":"Dong","given":"Haini"},{"family":"Dorfman","given":"Susannah M."},{"family":"Holl","given":"Christopher M."},{"family":"Meng","given":"Yue"},{"family":"Prakapenka","given":"Vitali B."},{"family":"He","given":"Duanwei"},{"family":"Duffy","given":"Thomas S."}],"issued":{"date-parts":[["2014",1,2]]}}}],"schema":"https://github.com/citation-style-language/schema/raw/master/csl-citation.json"} </w:instrText>
      </w:r>
      <w:r w:rsidRPr="00C42EB8">
        <w:rPr>
          <w:rStyle w:val="IUCrbodytextChar"/>
          <w:rFonts w:eastAsiaTheme="minorHAnsi"/>
        </w:rPr>
        <w:fldChar w:fldCharType="separate"/>
      </w:r>
      <w:r w:rsidRPr="00E66957">
        <w:t xml:space="preserve">(Dong </w:t>
      </w:r>
      <w:r w:rsidRPr="00E66957">
        <w:rPr>
          <w:i/>
          <w:iCs/>
        </w:rPr>
        <w:t>et al.</w:t>
      </w:r>
      <w:r w:rsidRPr="00E66957">
        <w:t>, 2014)</w:t>
      </w:r>
      <w:r w:rsidRPr="00C42EB8">
        <w:rPr>
          <w:rStyle w:val="IUCrbodytextChar"/>
          <w:rFonts w:eastAsiaTheme="minorHAnsi"/>
        </w:rPr>
        <w:fldChar w:fldCharType="end"/>
      </w:r>
      <w:r w:rsidRPr="004742BD">
        <w:t>, and diffuse scattering from liquid N</w:t>
      </w:r>
      <w:r w:rsidRPr="004742BD">
        <w:rPr>
          <w:vertAlign w:val="subscript"/>
        </w:rPr>
        <w:t>2</w:t>
      </w:r>
      <w:r w:rsidRPr="004742BD">
        <w:t xml:space="preserve"> was clearly visible in the integrated diffraction patterns. </w:t>
      </w:r>
    </w:p>
    <w:p w14:paraId="1DBCF02E" w14:textId="35E71569" w:rsidR="00A20AFF" w:rsidRPr="004742BD" w:rsidRDefault="00A20AFF" w:rsidP="00A20AFF">
      <w:pPr>
        <w:pStyle w:val="IUCrbodytext"/>
      </w:pPr>
      <w:r w:rsidRPr="004742BD">
        <w:t xml:space="preserve">A series of 216 XRD images collected at 75% </w:t>
      </w:r>
      <w:r>
        <w:t xml:space="preserve">X-ray </w:t>
      </w:r>
      <w:r w:rsidRPr="004742BD">
        <w:t>transmission (220</w:t>
      </w:r>
      <w:r>
        <w:t xml:space="preserve"> </w:t>
      </w:r>
      <w:r>
        <w:rPr>
          <w:szCs w:val="20"/>
        </w:rPr>
        <w:t xml:space="preserve">± </w:t>
      </w:r>
      <w:r w:rsidRPr="004742BD">
        <w:t>60 µJ) resulted in a &lt;</w:t>
      </w:r>
      <w:r w:rsidRPr="004742BD">
        <w:rPr>
          <w:rStyle w:val="IUCrbodytextChar"/>
          <w:rFonts w:eastAsiaTheme="minorHAnsi"/>
        </w:rPr>
        <w:t>60 K</w:t>
      </w:r>
      <w:r w:rsidRPr="004742BD">
        <w:t xml:space="preserve"> temperature increase in </w:t>
      </w:r>
      <w:proofErr w:type="spellStart"/>
      <w:r w:rsidRPr="004742BD">
        <w:t>LiF</w:t>
      </w:r>
      <w:proofErr w:type="spellEnd"/>
      <w:r w:rsidRPr="004742BD">
        <w:rPr>
          <w:rStyle w:val="IUCrbodytextChar"/>
          <w:rFonts w:eastAsiaTheme="minorHAnsi"/>
        </w:rPr>
        <w:t xml:space="preserve"> </w:t>
      </w:r>
      <w:r w:rsidRPr="00E949DF">
        <w:rPr>
          <w:rStyle w:val="IUCrbodytextChar"/>
          <w:rFonts w:eastAsiaTheme="minorHAnsi"/>
        </w:rPr>
        <w:fldChar w:fldCharType="begin"/>
      </w:r>
      <w:r>
        <w:rPr>
          <w:rStyle w:val="IUCrbodytextChar"/>
          <w:rFonts w:eastAsiaTheme="minorHAnsi"/>
        </w:rPr>
        <w:instrText xml:space="preserve"> ADDIN ZOTERO_ITEM CSL_CITATION {"citationID":"rILtEduP","properties":{"formattedCitation":"(Liu {\\i{}et al.}, 2007)","plainCitation":"(Liu et al., 2007)","noteIndex":0},"citationItems":[{"id":135,"uris":["http://zotero.org/users/local/dwaXvkNj/items/MDR9HGFU"],"uri":["http://zotero.org/users/local/dwaXvkNj/items/MDR9HGFU"],"itemData":{"id":135,"type":"article-journal","title":"Equation of state and thermal expansivity of LiF and NaF","container-title":"High Pressure Research","page":"483-489","volume":"27","issue":"4","source":"Taylor and Francis+NEJM","abstract":"The high-pressure and high-temperature behaviors of LiF and NaF have been studied up to 37 GPa and 1000 K. No phase transformations have been observed for LiF up to the maximum pressure reached. The B1 to B2 transition of NaF at room temperature was observed at </w:instrText>
      </w:r>
      <w:r>
        <w:rPr>
          <w:rStyle w:val="IUCrbodytextChar"/>
          <w:rFonts w:ascii="Cambria Math" w:eastAsiaTheme="minorHAnsi" w:hAnsi="Cambria Math" w:cs="Cambria Math"/>
        </w:rPr>
        <w:instrText>∼</w:instrText>
      </w:r>
      <w:r>
        <w:rPr>
          <w:rStyle w:val="IUCrbodytextChar"/>
          <w:rFonts w:eastAsiaTheme="minorHAnsi"/>
        </w:rPr>
        <w:instrText xml:space="preserve">28 GPa, this transition pressure decreases with temperature. Unit-cell volumes of LiF and NaF B1 phase measured at various pressures and temperatures were fitted using a P–V–T Birch–Murnaghan equation of state. For LiF, the determined parameters are: α0 = 1.05 (3)×10−4 K−1, dK/dT = −0.025 (2) GPa/K, V 0 = 65.7 (1) Å3, K 0 = 73 (2) GPa, and K′ = 3.9 (2). For NaF, α0 = 1.34 (4)×10−4 K−1, dK/dT = −0.020 (1) GPa/K, V 0 = 100.2 (2) Å3, K 0 = 46 (1) GPa, and K′ = 4.5 (1).","DOI":"10.1080/08957950701684690","ISSN":"0895-7959","journalAbbreviation":"High Press. Res.","author":[{"family":"Liu","given":"Jun"},{"family":"Dubrovinsky","given":"L."},{"family":"Boffa Ballaran","given":"T."},{"family":"Crichton","given":"W."}],"issued":{"date-parts":[["2007",12,1]]}}}],"schema":"https://github.com/citation-style-language/schema/raw/master/csl-citation.json"} </w:instrText>
      </w:r>
      <w:r w:rsidRPr="00E949DF">
        <w:rPr>
          <w:rStyle w:val="IUCrbodytextChar"/>
          <w:rFonts w:eastAsiaTheme="minorHAnsi"/>
        </w:rPr>
        <w:fldChar w:fldCharType="separate"/>
      </w:r>
      <w:r w:rsidRPr="00E66957">
        <w:t xml:space="preserve">(Liu </w:t>
      </w:r>
      <w:r w:rsidRPr="00E66957">
        <w:rPr>
          <w:i/>
          <w:iCs/>
        </w:rPr>
        <w:t>et al.</w:t>
      </w:r>
      <w:r w:rsidRPr="00E66957">
        <w:t>, 2007)</w:t>
      </w:r>
      <w:r w:rsidRPr="00E949DF">
        <w:rPr>
          <w:rStyle w:val="IUCrbodytextChar"/>
          <w:rFonts w:eastAsiaTheme="minorHAnsi"/>
        </w:rPr>
        <w:fldChar w:fldCharType="end"/>
      </w:r>
      <w:r w:rsidRPr="004742BD">
        <w:rPr>
          <w:rStyle w:val="IUCrbodytextChar"/>
          <w:rFonts w:eastAsiaTheme="minorHAnsi"/>
        </w:rPr>
        <w:t xml:space="preserve">, which was deemed acceptable for this experiment. The </w:t>
      </w:r>
      <w:proofErr w:type="spellStart"/>
      <w:r w:rsidRPr="004742BD">
        <w:rPr>
          <w:rStyle w:val="IUCrbodytextChar"/>
          <w:rFonts w:eastAsiaTheme="minorHAnsi"/>
        </w:rPr>
        <w:t>LiF</w:t>
      </w:r>
      <w:proofErr w:type="spellEnd"/>
      <w:r w:rsidRPr="004742BD">
        <w:rPr>
          <w:rStyle w:val="IUCrbodytextChar"/>
          <w:rFonts w:eastAsiaTheme="minorHAnsi"/>
        </w:rPr>
        <w:t xml:space="preserve"> reflections were very</w:t>
      </w:r>
      <w:r w:rsidRPr="004742BD">
        <w:t xml:space="preserve"> weak, and so their peak position was determined from the sum of </w:t>
      </w:r>
      <w:r>
        <w:t>four</w:t>
      </w:r>
      <w:r w:rsidRPr="004742BD">
        <w:t xml:space="preserve"> diffraction images. N</w:t>
      </w:r>
      <w:r w:rsidRPr="004742BD">
        <w:rPr>
          <w:vertAlign w:val="subscript"/>
        </w:rPr>
        <w:t>2</w:t>
      </w:r>
      <w:r w:rsidRPr="004742BD">
        <w:t xml:space="preserve"> was compressed in the LLNL </w:t>
      </w:r>
      <w:proofErr w:type="spellStart"/>
      <w:r w:rsidRPr="004742BD">
        <w:t>dDAC</w:t>
      </w:r>
      <w:proofErr w:type="spellEnd"/>
      <w:r w:rsidRPr="004742BD">
        <w:t xml:space="preserve"> using a 340 µs rise time to 1000 V, and XRD data were collected 150 µs after the start of the voltage waveform. Solidification of N</w:t>
      </w:r>
      <w:r w:rsidRPr="004742BD">
        <w:rPr>
          <w:vertAlign w:val="subscript"/>
        </w:rPr>
        <w:t>2</w:t>
      </w:r>
      <w:r w:rsidRPr="004742BD">
        <w:t xml:space="preserve"> was clearly observable in the XRD patterns (Fig. </w:t>
      </w:r>
      <w:r>
        <w:t>8</w:t>
      </w:r>
      <w:r w:rsidRPr="004742BD">
        <w:t xml:space="preserve"> (a)), where </w:t>
      </w:r>
      <w:r>
        <w:t>β</w:t>
      </w:r>
      <w:r w:rsidRPr="004742BD">
        <w:t>-N</w:t>
      </w:r>
      <w:r w:rsidRPr="004742BD">
        <w:rPr>
          <w:vertAlign w:val="subscript"/>
        </w:rPr>
        <w:t xml:space="preserve">2 </w:t>
      </w:r>
      <w:r w:rsidRPr="004742BD">
        <w:t>reflections were present from 223.92 µs until the end of the XRD series.</w:t>
      </w:r>
      <w:r>
        <w:t xml:space="preserve"> </w:t>
      </w:r>
      <w:r w:rsidRPr="004742BD">
        <w:t xml:space="preserve">The </w:t>
      </w:r>
      <w:proofErr w:type="spellStart"/>
      <w:r w:rsidRPr="004742BD">
        <w:t>EoS</w:t>
      </w:r>
      <w:proofErr w:type="spellEnd"/>
      <w:r w:rsidRPr="004742BD">
        <w:t xml:space="preserve"> of </w:t>
      </w:r>
      <w:proofErr w:type="spellStart"/>
      <w:r w:rsidRPr="004742BD">
        <w:t>LiF</w:t>
      </w:r>
      <w:proofErr w:type="spellEnd"/>
      <w:r w:rsidRPr="004742BD">
        <w:t xml:space="preserve"> determined a </w:t>
      </w:r>
      <w:r w:rsidRPr="004742BD">
        <w:rPr>
          <w:rStyle w:val="IUCrbodytextChar"/>
          <w:rFonts w:eastAsiaTheme="minorHAnsi"/>
        </w:rPr>
        <w:t>solidification pressure of 2.7 </w:t>
      </w:r>
      <w:proofErr w:type="spellStart"/>
      <w:r w:rsidRPr="004742BD">
        <w:rPr>
          <w:rStyle w:val="IUCrbodytextChar"/>
          <w:rFonts w:eastAsiaTheme="minorHAnsi"/>
        </w:rPr>
        <w:t>GPa</w:t>
      </w:r>
      <w:proofErr w:type="spellEnd"/>
      <w:r w:rsidRPr="004742BD">
        <w:rPr>
          <w:rStyle w:val="IUCrbodytextChar"/>
          <w:rFonts w:eastAsiaTheme="minorHAnsi"/>
        </w:rPr>
        <w:t xml:space="preserve">, which is 0.3 </w:t>
      </w:r>
      <w:proofErr w:type="spellStart"/>
      <w:r w:rsidRPr="004742BD">
        <w:rPr>
          <w:rStyle w:val="IUCrbodytextChar"/>
          <w:rFonts w:eastAsiaTheme="minorHAnsi"/>
        </w:rPr>
        <w:t>GPa</w:t>
      </w:r>
      <w:proofErr w:type="spellEnd"/>
      <w:r w:rsidRPr="004742BD">
        <w:rPr>
          <w:rStyle w:val="IUCrbodytextChar"/>
          <w:rFonts w:eastAsiaTheme="minorHAnsi"/>
        </w:rPr>
        <w:t xml:space="preserve"> higher than that observed in static compression studies </w:t>
      </w:r>
      <w:r w:rsidRPr="00E949DF">
        <w:rPr>
          <w:rStyle w:val="IUCrbodytextChar"/>
          <w:rFonts w:eastAsiaTheme="minorHAnsi"/>
        </w:rPr>
        <w:fldChar w:fldCharType="begin"/>
      </w:r>
      <w:r w:rsidR="006722F5">
        <w:rPr>
          <w:rStyle w:val="IUCrbodytextChar"/>
          <w:rFonts w:eastAsiaTheme="minorHAnsi"/>
        </w:rPr>
        <w:instrText xml:space="preserve"> ADDIN ZOTERO_ITEM CSL_CITATION {"citationID":"C9RvxJQO","properties":{"formattedCitation":"(Zinn {\\i{}et al.}, 1987)","plainCitation":"(Zinn et al., 1987)","noteIndex":0},"citationItems":[{"id":"k3ssTldU/ggjCKq2B","uris":["http://zotero.org/users/local/uJBp8IoE/items/XLML82CS"],"uri":["http://zotero.org/users/local/uJBp8IoE/items/XLML82CS"],"itemData":{"id":276,"type":"article-journal","container-title":"The Journal of Chemical Physics","DOI":"10.1063/1.453310","ISSN":"0021-9606","issue":"2","journalAbbreviation":"J. Chem. Phys.","note":"publisher: American Institute of Physics","page":"1267-1271","source":"aip.scitation.org (Atypon)","title":"Raman spectroscopy and melting of nitrogen between 290 and 900 K and 2.3 and 18 GPa","volume":"87","author":[{"family":"Zinn","given":"A. S."},{"family":"Schiferl","given":"D."},{"family":"Nicol","given":"M. F."}],"issued":{"date-parts":[["1987",7,15]]}}}],"schema":"https://github.com/citation-style-language/schema/raw/master/csl-citation.json"} </w:instrText>
      </w:r>
      <w:r w:rsidRPr="00E949DF">
        <w:rPr>
          <w:rStyle w:val="IUCrbodytextChar"/>
          <w:rFonts w:eastAsiaTheme="minorHAnsi"/>
        </w:rPr>
        <w:fldChar w:fldCharType="separate"/>
      </w:r>
      <w:r w:rsidRPr="000266C4">
        <w:t xml:space="preserve">(Zinn </w:t>
      </w:r>
      <w:r w:rsidRPr="000266C4">
        <w:rPr>
          <w:i/>
          <w:iCs/>
        </w:rPr>
        <w:t>et al.</w:t>
      </w:r>
      <w:r w:rsidRPr="000266C4">
        <w:t>, 1987)</w:t>
      </w:r>
      <w:r w:rsidRPr="00E949DF">
        <w:rPr>
          <w:rStyle w:val="IUCrbodytextChar"/>
          <w:rFonts w:eastAsiaTheme="minorHAnsi"/>
        </w:rPr>
        <w:fldChar w:fldCharType="end"/>
      </w:r>
      <w:r w:rsidRPr="004742BD">
        <w:rPr>
          <w:rStyle w:val="IUCrbodytextChar"/>
          <w:rFonts w:eastAsiaTheme="minorHAnsi"/>
        </w:rPr>
        <w:t xml:space="preserve">. </w:t>
      </w:r>
      <w:r>
        <w:rPr>
          <w:rStyle w:val="IUCrbodytextChar"/>
          <w:rFonts w:eastAsiaTheme="minorHAnsi"/>
        </w:rPr>
        <w:t xml:space="preserve">An average compression rate of 20 </w:t>
      </w:r>
      <w:proofErr w:type="spellStart"/>
      <w:r>
        <w:rPr>
          <w:rStyle w:val="IUCrbodytextChar"/>
          <w:rFonts w:eastAsiaTheme="minorHAnsi"/>
        </w:rPr>
        <w:t>TPa</w:t>
      </w:r>
      <w:proofErr w:type="spellEnd"/>
      <w:r>
        <w:rPr>
          <w:rStyle w:val="IUCrbodytextChar"/>
          <w:rFonts w:eastAsiaTheme="minorHAnsi"/>
        </w:rPr>
        <w:t xml:space="preserve">/s across the entire X-ray window was determined based on the </w:t>
      </w:r>
      <w:proofErr w:type="spellStart"/>
      <w:r>
        <w:rPr>
          <w:rStyle w:val="IUCrbodytextChar"/>
          <w:rFonts w:eastAsiaTheme="minorHAnsi"/>
        </w:rPr>
        <w:t>EoS</w:t>
      </w:r>
      <w:proofErr w:type="spellEnd"/>
      <w:r>
        <w:rPr>
          <w:rStyle w:val="IUCrbodytextChar"/>
          <w:rFonts w:eastAsiaTheme="minorHAnsi"/>
        </w:rPr>
        <w:t xml:space="preserve"> of </w:t>
      </w:r>
      <w:proofErr w:type="spellStart"/>
      <w:r>
        <w:rPr>
          <w:rStyle w:val="IUCrbodytextChar"/>
          <w:rFonts w:eastAsiaTheme="minorHAnsi"/>
        </w:rPr>
        <w:t>LiF</w:t>
      </w:r>
      <w:proofErr w:type="spellEnd"/>
      <w:r>
        <w:rPr>
          <w:rStyle w:val="IUCrbodytextChar"/>
          <w:rFonts w:eastAsiaTheme="minorHAnsi"/>
        </w:rPr>
        <w:t>. T</w:t>
      </w:r>
      <w:r>
        <w:t xml:space="preserve">he </w:t>
      </w:r>
      <w:r w:rsidRPr="004742BD">
        <w:t>compression rate</w:t>
      </w:r>
      <w:r>
        <w:t xml:space="preserve"> was</w:t>
      </w:r>
      <w:r w:rsidRPr="004742BD">
        <w:t xml:space="preserve"> </w:t>
      </w:r>
      <w:r>
        <w:t>23</w:t>
      </w:r>
      <w:r w:rsidRPr="004742BD">
        <w:t xml:space="preserve"> </w:t>
      </w:r>
      <w:proofErr w:type="spellStart"/>
      <w:r w:rsidRPr="004742BD">
        <w:t>TPa</w:t>
      </w:r>
      <w:proofErr w:type="spellEnd"/>
      <w:r w:rsidRPr="004742BD">
        <w:t xml:space="preserve">/s </w:t>
      </w:r>
      <w:r>
        <w:t>in the region where β</w:t>
      </w:r>
      <w:r w:rsidRPr="004742BD">
        <w:t>-N</w:t>
      </w:r>
      <w:r w:rsidRPr="004742BD">
        <w:rPr>
          <w:vertAlign w:val="subscript"/>
        </w:rPr>
        <w:t>2</w:t>
      </w:r>
      <w:r>
        <w:rPr>
          <w:vertAlign w:val="subscript"/>
        </w:rPr>
        <w:t xml:space="preserve"> </w:t>
      </w:r>
      <w:r>
        <w:t xml:space="preserve">was observed, corresponding to a strain rate of </w:t>
      </w:r>
      <m:oMath>
        <m:acc>
          <m:accPr>
            <m:chr m:val="̇"/>
            <m:ctrlPr>
              <w:rPr>
                <w:rFonts w:ascii="Cambria Math" w:eastAsia="Arial" w:hAnsi="Cambria Math"/>
                <w:i/>
                <w:szCs w:val="22"/>
                <w:shd w:val="clear" w:color="FDFDFD" w:fill="FDFDFD"/>
              </w:rPr>
            </m:ctrlPr>
          </m:accPr>
          <m:e>
            <m:r>
              <w:rPr>
                <w:rFonts w:ascii="Cambria Math" w:eastAsia="Arial" w:hAnsi="Cambria Math"/>
                <w:szCs w:val="22"/>
                <w:shd w:val="clear" w:color="FDFDFD" w:fill="FDFDFD"/>
              </w:rPr>
              <m:t>ε</m:t>
            </m:r>
          </m:e>
        </m:acc>
      </m:oMath>
      <w:r>
        <w:rPr>
          <w:rFonts w:eastAsiaTheme="minorEastAsia"/>
          <w:szCs w:val="22"/>
          <w:shd w:val="clear" w:color="FDFDFD" w:fill="FDFDFD"/>
        </w:rPr>
        <w:t xml:space="preserve"> </w:t>
      </w:r>
      <w:r>
        <w:rPr>
          <w:color w:val="000000"/>
          <w:shd w:val="clear" w:color="auto" w:fill="FDFDFD"/>
        </w:rPr>
        <w:t>= 1100 s</w:t>
      </w:r>
      <w:r w:rsidRPr="00F97054">
        <w:rPr>
          <w:color w:val="000000"/>
          <w:shd w:val="clear" w:color="auto" w:fill="FDFDFD"/>
          <w:vertAlign w:val="superscript"/>
        </w:rPr>
        <w:t>-1</w:t>
      </w:r>
      <w:r>
        <w:t xml:space="preserve"> in β-N</w:t>
      </w:r>
      <w:r w:rsidRPr="00C84DD6">
        <w:rPr>
          <w:vertAlign w:val="subscript"/>
        </w:rPr>
        <w:t>2</w:t>
      </w:r>
      <w:r w:rsidRPr="004742BD">
        <w:t xml:space="preserve">. </w:t>
      </w:r>
      <w:r w:rsidRPr="004742BD">
        <w:rPr>
          <w:rStyle w:val="IUCrbodytextChar"/>
          <w:rFonts w:eastAsiaTheme="minorHAnsi"/>
        </w:rPr>
        <w:t>N</w:t>
      </w:r>
      <w:r w:rsidRPr="004742BD">
        <w:rPr>
          <w:rStyle w:val="IUCrbodytextChar"/>
          <w:rFonts w:eastAsiaTheme="minorHAnsi"/>
          <w:vertAlign w:val="subscript"/>
        </w:rPr>
        <w:t>2</w:t>
      </w:r>
      <w:r w:rsidRPr="004742BD">
        <w:rPr>
          <w:rStyle w:val="IUCrbodytextChar"/>
          <w:rFonts w:eastAsiaTheme="minorHAnsi"/>
        </w:rPr>
        <w:t xml:space="preserve"> remained in the </w:t>
      </w:r>
      <w:r w:rsidRPr="00E949DF">
        <w:rPr>
          <w:rStyle w:val="IUCrbodytextChar"/>
          <w:rFonts w:eastAsiaTheme="minorHAnsi"/>
        </w:rPr>
        <w:t>β</w:t>
      </w:r>
      <w:r w:rsidRPr="004742BD">
        <w:rPr>
          <w:rStyle w:val="IUCrbodytextChar"/>
          <w:rFonts w:eastAsiaTheme="minorHAnsi"/>
        </w:rPr>
        <w:t>-N</w:t>
      </w:r>
      <w:r w:rsidRPr="004742BD">
        <w:rPr>
          <w:rStyle w:val="IUCrbodytextChar"/>
          <w:rFonts w:eastAsiaTheme="minorHAnsi"/>
          <w:vertAlign w:val="subscript"/>
        </w:rPr>
        <w:t>2</w:t>
      </w:r>
      <w:r w:rsidRPr="004742BD">
        <w:rPr>
          <w:rStyle w:val="IUCrbodytextChar"/>
          <w:rFonts w:eastAsiaTheme="minorHAnsi"/>
        </w:rPr>
        <w:t xml:space="preserve"> phase up to at least 5.</w:t>
      </w:r>
      <w:r>
        <w:rPr>
          <w:rStyle w:val="IUCrbodytextChar"/>
          <w:rFonts w:eastAsiaTheme="minorHAnsi"/>
        </w:rPr>
        <w:t>35</w:t>
      </w:r>
      <w:r w:rsidRPr="004742BD">
        <w:rPr>
          <w:rStyle w:val="IUCrbodytextChar"/>
          <w:rFonts w:eastAsiaTheme="minorHAnsi"/>
        </w:rPr>
        <w:t> </w:t>
      </w:r>
      <w:proofErr w:type="spellStart"/>
      <w:r w:rsidRPr="004742BD">
        <w:rPr>
          <w:rStyle w:val="IUCrbodytextChar"/>
          <w:rFonts w:eastAsiaTheme="minorHAnsi"/>
        </w:rPr>
        <w:t>GPa</w:t>
      </w:r>
      <w:proofErr w:type="spellEnd"/>
      <w:r w:rsidRPr="004742BD">
        <w:rPr>
          <w:rStyle w:val="IUCrbodytextChar"/>
          <w:rFonts w:eastAsiaTheme="minorHAnsi"/>
        </w:rPr>
        <w:t>, which is 0.3</w:t>
      </w:r>
      <w:r>
        <w:rPr>
          <w:rStyle w:val="IUCrbodytextChar"/>
          <w:rFonts w:eastAsiaTheme="minorHAnsi"/>
        </w:rPr>
        <w:t>5</w:t>
      </w:r>
      <w:r w:rsidRPr="004742BD">
        <w:rPr>
          <w:rStyle w:val="IUCrbodytextChar"/>
          <w:rFonts w:eastAsiaTheme="minorHAnsi"/>
        </w:rPr>
        <w:t xml:space="preserve"> </w:t>
      </w:r>
      <w:proofErr w:type="spellStart"/>
      <w:r w:rsidRPr="004742BD">
        <w:rPr>
          <w:rStyle w:val="IUCrbodytextChar"/>
          <w:rFonts w:eastAsiaTheme="minorHAnsi"/>
        </w:rPr>
        <w:t>GPa</w:t>
      </w:r>
      <w:proofErr w:type="spellEnd"/>
      <w:r w:rsidRPr="004742BD">
        <w:rPr>
          <w:rStyle w:val="IUCrbodytextChar"/>
          <w:rFonts w:eastAsiaTheme="minorHAnsi"/>
        </w:rPr>
        <w:t xml:space="preserve"> higher</w:t>
      </w:r>
      <w:r w:rsidRPr="004742BD">
        <w:t xml:space="preserve"> than the expected transition pressure to </w:t>
      </w:r>
      <w:r>
        <w:t>δ</w:t>
      </w:r>
      <w:r w:rsidRPr="004742BD">
        <w:t>-N</w:t>
      </w:r>
      <w:r w:rsidRPr="004742BD">
        <w:rPr>
          <w:vertAlign w:val="subscript"/>
        </w:rPr>
        <w:t>2</w:t>
      </w:r>
      <w:r>
        <w:rPr>
          <w:rStyle w:val="IUCrbodytextChar"/>
          <w:rFonts w:eastAsiaTheme="minorHAnsi"/>
        </w:rPr>
        <w:t xml:space="preserve"> </w:t>
      </w:r>
      <w:r>
        <w:rPr>
          <w:rStyle w:val="IUCrbodytextChar"/>
          <w:rFonts w:eastAsiaTheme="minorHAnsi"/>
        </w:rPr>
        <w:fldChar w:fldCharType="begin"/>
      </w:r>
      <w:r>
        <w:rPr>
          <w:rStyle w:val="IUCrbodytextChar"/>
          <w:rFonts w:eastAsiaTheme="minorHAnsi"/>
        </w:rPr>
        <w:instrText xml:space="preserve"> ADDIN ZOTERO_ITEM CSL_CITATION {"citationID":"pNLMCUW3","properties":{"formattedCitation":"(Hanfland {\\i{}et al.}, 1998)","plainCitation":"(Hanfland et al., 1998)","noteIndex":0},"citationItems":[{"id":148,"uris":["http://zotero.org/users/local/dwaXvkNj/items/KL3AYB3J"],"uri":["http://zotero.org/users/local/dwaXvkNj/items/KL3AYB3J"],"itemData":{"id":148,"type":"article-journal","title":"Structures of Molecular Nitrogen at High Pressures","container-title":"The Review of High Pressure Science and Technology","page":"787-789","volume":"7","source":"J-Stage","abstract":"We have studied structural properties of the high pressure phases of molecular nitrogen at room temperature using synchrotron radiation and angle dispersive powder diffraction with image plates as detectors. The cubic δ-phase was found to be stable between 5 and 11 GPa. At 11 GPa a phase transition to a new tetragonal phase was observed. Structural refinements suggest, that the transition is due to an orientational ordering of the disklike disordered molecules of the δ-phase. At 16. 5 GPa the transition to the rhombohedral ε-phase occurred.","DOI":"10.4131/jshpreview.7.787","journalAbbreviation":"Rev. High Pressure Sci. Technol.","author":[{"family":"Hanfland","given":"M."},{"family":"Lorenzen","given":"M."},{"family":"Wassilew-Reul","given":"C."},{"family":"Zontone","given":"F."}],"issued":{"date-parts":[["1998"]]}}}],"schema":"https://github.com/citation-style-language/schema/raw/master/csl-citation.json"} </w:instrText>
      </w:r>
      <w:r>
        <w:rPr>
          <w:rStyle w:val="IUCrbodytextChar"/>
          <w:rFonts w:eastAsiaTheme="minorHAnsi"/>
        </w:rPr>
        <w:fldChar w:fldCharType="separate"/>
      </w:r>
      <w:r w:rsidRPr="00971EF5">
        <w:t xml:space="preserve">(Hanfland </w:t>
      </w:r>
      <w:r w:rsidRPr="00971EF5">
        <w:rPr>
          <w:i/>
          <w:iCs/>
        </w:rPr>
        <w:t>et al.</w:t>
      </w:r>
      <w:r w:rsidRPr="00971EF5">
        <w:t>, 1998)</w:t>
      </w:r>
      <w:r>
        <w:rPr>
          <w:rStyle w:val="IUCrbodytextChar"/>
          <w:rFonts w:eastAsiaTheme="minorHAnsi"/>
        </w:rPr>
        <w:fldChar w:fldCharType="end"/>
      </w:r>
      <w:r w:rsidRPr="004742BD">
        <w:t>. Further experiments are required to determine the extent of over-pressurization of th</w:t>
      </w:r>
      <w:r>
        <w:t>e</w:t>
      </w:r>
      <w:r w:rsidRPr="004742BD">
        <w:t xml:space="preserve"> </w:t>
      </w:r>
      <w:r>
        <w:t>β</w:t>
      </w:r>
      <w:r w:rsidRPr="004742BD">
        <w:t>-N</w:t>
      </w:r>
      <w:r w:rsidRPr="004742BD">
        <w:rPr>
          <w:vertAlign w:val="subscript"/>
        </w:rPr>
        <w:t>2</w:t>
      </w:r>
      <w:r w:rsidRPr="004742BD">
        <w:t>/</w:t>
      </w:r>
      <w:r>
        <w:t>δ</w:t>
      </w:r>
      <w:r w:rsidRPr="004742BD">
        <w:t>-N</w:t>
      </w:r>
      <w:r w:rsidRPr="004742BD">
        <w:rPr>
          <w:vertAlign w:val="subscript"/>
        </w:rPr>
        <w:t>2</w:t>
      </w:r>
      <w:r w:rsidRPr="004742BD">
        <w:t xml:space="preserve"> transition. </w:t>
      </w:r>
    </w:p>
    <w:p w14:paraId="7456CF60" w14:textId="16485F54" w:rsidR="00A20AFF" w:rsidRDefault="00875749" w:rsidP="00A20AFF">
      <w:pPr>
        <w:pStyle w:val="IUCrbodytext"/>
      </w:pPr>
      <w:r>
        <w:rPr>
          <w:noProof/>
        </w:rPr>
        <w:lastRenderedPageBreak/>
        <w:drawing>
          <wp:inline distT="0" distB="0" distL="0" distR="0" wp14:anchorId="717DC978" wp14:editId="0B01C728">
            <wp:extent cx="5731510" cy="484441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844415"/>
                    </a:xfrm>
                    <a:prstGeom prst="rect">
                      <a:avLst/>
                    </a:prstGeom>
                  </pic:spPr>
                </pic:pic>
              </a:graphicData>
            </a:graphic>
          </wp:inline>
        </w:drawing>
      </w:r>
    </w:p>
    <w:p w14:paraId="415E9EB2" w14:textId="77777777" w:rsidR="00A20AFF" w:rsidRDefault="00A20AFF" w:rsidP="00A20AFF">
      <w:pPr>
        <w:pStyle w:val="IUCrfigurecaption"/>
      </w:pPr>
      <w:r>
        <w:rPr>
          <w:color w:val="000000" w:themeColor="text1"/>
        </w:rPr>
        <w:t>Dynamic compression of N</w:t>
      </w:r>
      <w:r>
        <w:rPr>
          <w:color w:val="000000" w:themeColor="text1"/>
          <w:vertAlign w:val="subscript"/>
        </w:rPr>
        <w:t>2</w:t>
      </w:r>
      <w:r>
        <w:rPr>
          <w:color w:val="000000" w:themeColor="text1"/>
        </w:rPr>
        <w:t>. (a) Integrated XRD data, (b) sample pressure and molecular volume of N</w:t>
      </w:r>
      <w:r>
        <w:rPr>
          <w:color w:val="000000" w:themeColor="text1"/>
          <w:vertAlign w:val="subscript"/>
        </w:rPr>
        <w:t>2</w:t>
      </w:r>
      <w:r>
        <w:rPr>
          <w:color w:val="000000" w:themeColor="text1"/>
        </w:rPr>
        <w:t>, and (c) integrated intensity of β-N</w:t>
      </w:r>
      <w:r>
        <w:rPr>
          <w:color w:val="000000" w:themeColor="text1"/>
          <w:vertAlign w:val="subscript"/>
        </w:rPr>
        <w:t xml:space="preserve">2 </w:t>
      </w:r>
      <w:r w:rsidRPr="00951A98">
        <w:rPr>
          <w:color w:val="000000" w:themeColor="text1"/>
        </w:rPr>
        <w:t>re</w:t>
      </w:r>
      <w:r>
        <w:rPr>
          <w:color w:val="000000" w:themeColor="text1"/>
        </w:rPr>
        <w:t>flections as a function of time. In (a), solidification of N</w:t>
      </w:r>
      <w:r>
        <w:rPr>
          <w:color w:val="000000" w:themeColor="text1"/>
          <w:vertAlign w:val="subscript"/>
        </w:rPr>
        <w:t>2</w:t>
      </w:r>
      <w:r>
        <w:rPr>
          <w:color w:val="000000" w:themeColor="text1"/>
        </w:rPr>
        <w:t xml:space="preserve"> can be observed at ~220 µs, and </w:t>
      </w:r>
      <w:r>
        <w:rPr>
          <w:b/>
        </w:rPr>
        <w:t xml:space="preserve">G </w:t>
      </w:r>
      <w:r>
        <w:t>indicates gasket peaks.</w:t>
      </w:r>
    </w:p>
    <w:p w14:paraId="65FAE036" w14:textId="77777777" w:rsidR="00A20AFF" w:rsidRPr="009B176E" w:rsidRDefault="00A20AFF" w:rsidP="00A20AFF">
      <w:pPr>
        <w:pStyle w:val="IUCrbodytext"/>
      </w:pPr>
    </w:p>
    <w:p w14:paraId="647877BE" w14:textId="77777777" w:rsidR="00A20AFF" w:rsidRDefault="00A20AFF" w:rsidP="00A20AFF">
      <w:pPr>
        <w:pStyle w:val="IUCrheading2"/>
        <w:numPr>
          <w:ilvl w:val="1"/>
          <w:numId w:val="34"/>
        </w:numPr>
        <w:textAlignment w:val="auto"/>
      </w:pPr>
      <w:r>
        <w:t>Science case 4: Dynamic compression of H</w:t>
      </w:r>
      <w:r w:rsidRPr="00BB0287">
        <w:rPr>
          <w:vertAlign w:val="subscript"/>
        </w:rPr>
        <w:t>2</w:t>
      </w:r>
      <w:r>
        <w:t>O</w:t>
      </w:r>
    </w:p>
    <w:p w14:paraId="7C96A516" w14:textId="3573064F" w:rsidR="00A20AFF" w:rsidRPr="004742BD" w:rsidRDefault="00A20AFF" w:rsidP="00A20AFF">
      <w:pPr>
        <w:pStyle w:val="IUCrbodytext"/>
        <w:rPr>
          <w:rFonts w:eastAsia="Arial"/>
        </w:rPr>
      </w:pPr>
      <w:r w:rsidRPr="004742BD">
        <w:rPr>
          <w:rFonts w:eastAsia="Arial"/>
        </w:rPr>
        <w:t>H</w:t>
      </w:r>
      <w:r w:rsidRPr="004742BD">
        <w:rPr>
          <w:rFonts w:eastAsia="Arial"/>
          <w:vertAlign w:val="subscript"/>
        </w:rPr>
        <w:t>2</w:t>
      </w:r>
      <w:r w:rsidRPr="004742BD">
        <w:rPr>
          <w:rFonts w:eastAsia="Arial"/>
        </w:rPr>
        <w:t xml:space="preserve">O has a complex phase diagram with 17 experimentally-observed polymorphs, including two forms </w:t>
      </w:r>
      <w:r>
        <w:rPr>
          <w:rFonts w:eastAsia="Arial"/>
        </w:rPr>
        <w:t xml:space="preserve">of </w:t>
      </w:r>
      <w:r w:rsidRPr="004742BD">
        <w:rPr>
          <w:rFonts w:eastAsia="Arial"/>
        </w:rPr>
        <w:t xml:space="preserve">amorphous ice at low temperatures and superionic ice at high temperatures </w:t>
      </w:r>
      <w:r w:rsidRPr="00E76C3E">
        <w:rPr>
          <w:rFonts w:eastAsia="Arial"/>
        </w:rPr>
        <w:fldChar w:fldCharType="begin"/>
      </w:r>
      <w:r w:rsidR="006722F5">
        <w:rPr>
          <w:rFonts w:eastAsia="Arial"/>
        </w:rPr>
        <w:instrText xml:space="preserve"> ADDIN ZOTERO_ITEM CSL_CITATION {"citationID":"FlPvBKKF","properties":{"formattedCitation":"(Millot {\\i{}et al.}, 2018, 2019; Queyroux {\\i{}et al.}, 2020; Prakapenka {\\i{}et al.}, 2021; Weck {\\i{}et al.}, 2022)","plainCitation":"(Millot et al., 2018, 2019; Queyroux et al., 2020; Prakapenka et al., 2021; Weck et al., 2022)","noteIndex":0},"citationItems":[{"id":15,"uris":["http://zotero.org/users/local/dwaXvkNj/items/F5RHW8Z7"],"uri":["http://zotero.org/users/local/dwaXvkNj/items/F5RHW8Z7"],"itemData":{"id":15,"type":"article-journal","title":"Experimental evidence for superionic water ice using shock compression","container-title":"Nature Physics","page":"297-302","volume":"14","issue":"3","source":"www.nature.com","abstract":"In stark contrast to common ice, Ih, water ice at planetary interior conditions has been predicted to become superionic with fast-diffusing (that is, liquid-like) hydrogen ions moving within a solid lattice of oxygen. Likely to constitute a large fraction of icy giant planets, this extraordinary phase has not been observed in the laboratory. Here, we report laser-driven shock-compression experiments on water ice VII. Using time-resolved optical pyrometry and laser velocimetry measurements as well as supporting density functional theory–molecular dynamics (DFT-MD) simulations, we document the shock equation of state of H2O to unprecedented extreme conditions and unravel thermodynamic signatures showing that ice melts near 5,000 K at 190 GPa. Optical reflectivity and absorption measurements also demonstrate the low electronic conductivity of ice, which, combined with previous measurements of the total electrical conductivity under reverberating shock compression, provides experimental evidence for superionic conduction in water ice at planetary interior conditions, verifying a 30-year-old prediction.","DOI":"10.1038/s41567-017-0017-4","ISSN":"1745-2481","journalAbbreviation":"Nat. Phys.","language":"en","author":[{"family":"Millot","given":"Marius"},{"family":"Hamel","given":"Sebastien"},{"family":"Rygg","given":"J. Ryan"},{"family":"Celliers","given":"Peter M."},{"family":"Collins","given":"Gilbert W."},{"family":"Coppari","given":"Federica"},{"family":"Fratanduono","given":"Dayne E."},{"family":"Jeanloz","given":"Raymond"},{"family":"Swift","given":"Damian C."},{"family":"Eggert","given":"Jon H."}],"issued":{"date-parts":[["2018",3]]}}},{"id":"k3ssTldU/Gl3xATNl","uris":["http://zotero.org/users/local/uJBp8IoE/items/KYMS9N8N"],"uri":["http://zotero.org/users/local/uJBp8IoE/items/KYMS9N8N"],"itemData":{"id":305,"type":"article-journal","abstract":"Since Bridgman’s discovery of five solid water (H2O) ice phases1 in 1912, studies on the extraordinary polymorphism of H2O have documented more than seventeen crystalline and several amorphous ice structures2,3, as well as rich metastability and kinetic effects4,5. This unique behaviour is due in part to the geometrical frustration of the weak intermolecular hydrogen bonds and the sizeable quantum motion of the light hydrogen ions (protons). Particularly intriguing is the prediction that H2O becomes superionic6–12—with liquid-like protons diffusing through the solid lattice of oxygen—when subjected to extreme pressures exceeding 100 gigapascals and high temperatures above 2,000 kelvin. Numerical simulations suggest that the characteristic diffusion of the protons through the empty sites of the oxygen solid lattice (1) gives rise to a surprisingly high ionic conductivity above 100 Siemens per centimetre, that is, almost as high as typical metallic (electronic) conductivity, (2) greatly increases the ice melting temperature7–13 to several thousand kelvin, and (3) favours new ice structures with a close-packed oxygen lattice13–15. Because confining such hot and dense H2O in the laboratory is extremely challenging, experimental data are scarce. Recent optical measurements along the Hugoniot curve (locus of shock states) of water ice VII showed evidence of superionic conduction and thermodynamic signatures for melting16, but did not confirm the microscopic structure of superionic ice. Here we use laser-driven shockwaves to simultaneously compress and heat liquid water samples to 100–400 gigapascals and 2,000–3,000 kelvin. In situ X-ray diffraction measurements show that under these conditions, water solidifies within a few nanoseconds into nanometre-sized ice grains that exhibit unambiguous evidence for the crystalline oxygen lattice of superionic water ice. The X-ray diffraction data also allow us to document the compressibility of ice at these extreme conditions and a temperature- and pressure-induced phase transformation from a body-centred-cubic ice phase (probably ice X) to a novel face-centred-cubic, superionic ice phase, which we name ice XVIII2,17.","container-title":"Nature","DOI":"10.1038/s41586-019-1114-6","ISSN":"1476-4687","issue":"7755","language":"en","note":"number: 7755\npublisher: Nature Publishing Group","page":"251-255","source":"www.nature.com","title":"Nanosecond X-ray diffraction of shock-compressed superionic water ice","volume":"569","author":[{"family":"Millot","given":"Marius"},{"family":"Coppari","given":"Federica"},{"family":"Rygg","given":"J. Ryan"},{"family":"Correa Barrios","given":"Antonio"},{"family":"Hamel","given":"Sebastien"},{"family":"Swift","given":"Damian C."},{"family":"Eggert","given":"Jon H."}],"issued":{"date-parts":[["2019",5]]}}},{"id":12,"uris":["http://zotero.org/users/local/dwaXvkNj/items/26IMRJSS"],"uri":["http://zotero.org/users/local/dwaXvkNj/items/26IMRJSS"],"itemData":{"id":12,"type":"article-journal","title":"Melting Curve and Isostructural Solid Transition in Superionic Ice","container-title":"Physical Review Letters","page":"195501","volume":"125","issue":"19","source":"APS","abstract":"The phase diagram and melting curve of water ice is investigated up to 45 GPa and 1600 K by synchrotron x-ray diffraction in the resistively and laser heated diamond anvil cell. Our melting data evidence a triple point at 14.6 GPa, 850 K. The latter is shown to be related to a first-order solid transition from the dynamically disordered form of ice VII, denoted ice VII′, toward a high-temperature phase with the same bcc oxygen lattice but larger volume and higher entropy. Our experiments are compared to ab initio molecular dynamics simulations, enabling us to identify the high-temperature bcc phase with the predicted superionic ice VII′′ phase [J.-A. Hernandez and R. Caracas, Phys. Rev. Lett. 117, 135503 (2016).].","DOI":"10.1103/PhysRevLett.125.195501","journalAbbreviation":"Phys. Rev. Lett.","author":[{"family":"Queyroux","given":"J.-A."},{"family":"Hernandez","given":"J.-A."},{"family":"Weck","given":"G."},{"family":"Ninet","given":"S."},{"family":"Plisson","given":"T."},{"family":"Klotz","given":"S."},{"family":"Garbarino","given":"G."},{"family":"Guignot","given":"N."},{"family":"Mezouar","given":"M."},{"family":"Hanfland","given":"M."},{"family":"Itié","given":"J.-P."},{"family":"Datchi","given":"F."}],"issued":{"date-parts":[["2020",11,2]]}}},{"id":"k3ssTldU/RqqkUYUc","uris":["http://zotero.org/users/local/uJBp8IoE/items/ACACXT68"],"uri":["http://zotero.org/users/local/uJBp8IoE/items/ACACXT68"],"itemData":{"id":300,"type":"article-journal","abstract":"In the phase diagram of water, superionic ices with highly mobile protons within the stable oxygen sublattice have been predicted at high pressures. However, the existence of superionic ices and the location of the melting line have been challenging to determine from both theory and experiments, yielding contradictory results depending on the employed techniques and the interpretation of the data. Here we report high-pressure and high-temperature synchrotron X-ray diffraction and optical spectroscopy measurements of water in a laser-heated diamond anvil cell and reveal first-order phase transitions to ices with body-centred and face-centred cubic oxygen lattices. Based on the distinct density, increased optical conductivity and the greatly decreased fusion enthalpies, we assign these observed structures to the theoretically predicted superionic ice phases. Our measurements determine the pressure–temperature stability fields of superionic ice phases and the melting line, suggesting the presence of face-centred cubic superionic ice in water-rich giant planets, such as Neptune and Uranus. The melting line determined here is at higher temperatures than previously determined in static compression experiments, but it is in agreement with theoretical calculations and data from shock-wave experiments.","container-title":"Nature Physics","DOI":"10.1038/s41567-021-01351-8","ISSN":"1745-2481","issue":"11","journalAbbreviation":"Nat. Phys.","language":"en","note":"number: 11\npublisher: Nature Publishing Group","page":"1233-1238","source":"www.nature.com","title":"Structure and properties of two superionic ice phases","volume":"17","author":[{"family":"Prakapenka","given":"Vitali B."},{"family":"Holtgrewe","given":"Nicholas"},{"family":"Lobanov","given":"Sergey S."},{"family":"Goncharov","given":"Alexander F."}],"issued":{"date-parts":[["2021",11]]}}},{"id":9,"uris":["http://zotero.org/users/local/dwaXvkNj/items/UJZXPXGM"],"uri":["http://zotero.org/users/local/dwaXvkNj/items/UJZXPXGM"],"itemData":{"id":9,"type":"article-journal","title":"Evidence and Stability Field of fcc Superionic Water Ice Using Static Compression","container-title":"Physical Review Letters","page":"165701","volume":"128","issue":"16","source":"APS","abstract":"Structural transformation of hot dense water ice is investigated by combining synchrotron x-ray diffraction and a laser-heating diamond anvil cell above 25 GPa. A transition from the body-centered-cubic (bcc) to face-centered-cubic (fcc) oxygen atoms sublattices is observed from 57 GPa and 1500 K to 166 GPa and 2500 K. That is the structural signature of the transition to fcc superionic (fcc SI) ice. The sign of the density discontinuity at the transition is obtained and a phase diagram is disclosed, showing an extended fcc SI stability field. Present data also constrain the stability field of the bcc superionic (bcc SI) ice up to 100 GPa at least. The current understanding of warm dense water ice based on ab initio simulations is discussed in the light of present data.","DOI":"10.1103/PhysRevLett.128.165701","journalAbbreviation":"Phys. Rev. Lett.","author":[{"family":"Weck","given":"Gunnar"},{"family":"Queyroux","given":"Jean-Antoine"},{"family":"Ninet","given":"Sandra"},{"family":"Datchi","given":"Frédéric"},{"family":"Mezouar","given":"Mohamed"},{"family":"Loubeyre","given":"Paul"}],"issued":{"date-parts":[["2022",4,21]]}}}],"schema":"https://github.com/citation-style-language/schema/raw/master/csl-citation.json"} </w:instrText>
      </w:r>
      <w:r w:rsidRPr="00E76C3E">
        <w:rPr>
          <w:rFonts w:eastAsia="Arial"/>
        </w:rPr>
        <w:fldChar w:fldCharType="separate"/>
      </w:r>
      <w:r w:rsidRPr="000266C4">
        <w:t xml:space="preserve">(Millot </w:t>
      </w:r>
      <w:r w:rsidRPr="000266C4">
        <w:rPr>
          <w:i/>
          <w:iCs/>
        </w:rPr>
        <w:t>et al.</w:t>
      </w:r>
      <w:r w:rsidRPr="000266C4">
        <w:t xml:space="preserve">, 2018, 2019; Queyroux </w:t>
      </w:r>
      <w:r w:rsidRPr="000266C4">
        <w:rPr>
          <w:i/>
          <w:iCs/>
        </w:rPr>
        <w:t>et al.</w:t>
      </w:r>
      <w:r w:rsidRPr="000266C4">
        <w:t xml:space="preserve">, 2020; Prakapenka </w:t>
      </w:r>
      <w:r w:rsidRPr="000266C4">
        <w:rPr>
          <w:i/>
          <w:iCs/>
        </w:rPr>
        <w:t>et al.</w:t>
      </w:r>
      <w:r w:rsidRPr="000266C4">
        <w:t xml:space="preserve">, 2021; Weck </w:t>
      </w:r>
      <w:r w:rsidRPr="000266C4">
        <w:rPr>
          <w:i/>
          <w:iCs/>
        </w:rPr>
        <w:t>et al.</w:t>
      </w:r>
      <w:r w:rsidRPr="000266C4">
        <w:t>, 2022)</w:t>
      </w:r>
      <w:r w:rsidRPr="00E76C3E">
        <w:rPr>
          <w:rFonts w:eastAsia="Arial"/>
        </w:rPr>
        <w:fldChar w:fldCharType="end"/>
      </w:r>
      <w:r w:rsidRPr="004742BD">
        <w:rPr>
          <w:rFonts w:eastAsia="Arial"/>
        </w:rPr>
        <w:t>. On compression at room temperature, H</w:t>
      </w:r>
      <w:r w:rsidRPr="004742BD">
        <w:rPr>
          <w:rFonts w:eastAsia="Arial"/>
          <w:vertAlign w:val="subscript"/>
        </w:rPr>
        <w:t>2</w:t>
      </w:r>
      <w:r w:rsidRPr="004742BD">
        <w:rPr>
          <w:rFonts w:eastAsia="Arial"/>
        </w:rPr>
        <w:t xml:space="preserve">O crystallizes in the ice VI structure at 1.05 </w:t>
      </w:r>
      <w:proofErr w:type="spellStart"/>
      <w:r w:rsidRPr="004742BD">
        <w:rPr>
          <w:rFonts w:eastAsia="Arial"/>
        </w:rPr>
        <w:t>GPa</w:t>
      </w:r>
      <w:proofErr w:type="spellEnd"/>
      <w:r w:rsidRPr="004742BD">
        <w:rPr>
          <w:rFonts w:eastAsia="Arial"/>
        </w:rPr>
        <w:t xml:space="preserve"> </w:t>
      </w:r>
      <w:r w:rsidRPr="00E76C3E">
        <w:rPr>
          <w:rFonts w:eastAsia="Arial"/>
        </w:rPr>
        <w:fldChar w:fldCharType="begin"/>
      </w:r>
      <w:r w:rsidR="006722F5">
        <w:rPr>
          <w:rFonts w:eastAsia="Arial"/>
        </w:rPr>
        <w:instrText xml:space="preserve"> ADDIN ZOTERO_ITEM CSL_CITATION {"citationID":"dDPCOizx","properties":{"formattedCitation":"(Shimizu {\\i{}et al.}, 1996)","plainCitation":"(Shimizu et al., 1996)","noteIndex":0},"citationItems":[{"id":"k3ssTldU/qDeuZ70v","uris":["http://zotero.org/users/local/uJBp8IoE/items/ZH3L3WH6"],"uri":["http://zotero.org/users/local/uJBp8IoE/items/ZH3L3WH6"],"itemData":{"id":298,"type":"article-journal","abstract":"High-pressure Brillouin spectroscopy has been used to determine acoustic velocities in any direction, refractive index, adiabatic elastic constants, and adiabatic bulk modulus of H2O and D2O ices at 300 K and at pressures between 1.05 and 2.1 GPa for tetragonal ice VI and above pressures up to 8 GPa for cubic ice VII. Typical values of elastic constants for H2O ice VI are C11=32.8, C12=11.8, C13=14.7, C33=27.8, C44=6.3, and C66=5.9 GPa at the pressure of 1.23 GPa. Refractive index and elastic constants show no distinction between H2O and D2O over the observed pressure ranges. At ice VI→VII transition at 2.1 GPa, acoustic velocities, refractive index, and elastic constants present drastic changes, but the adiabatic bulk modulus shows almost continuous change which is most likely to relate the common features of the self-clathrate structure and the potential function in both VI and VII ices. © 1996 The American Physical Society.","container-title":"Physical Review B","DOI":"10.1103/PhysRevB.53.6107","issue":"10","journalAbbreviation":"Phys. Rev. B","note":"publisher: American Physical Society","page":"6107-6110","source":"APS","title":"High-pressure elastic properties of the VI and VII phase of ice in dense ${\\mathrm{H}}_{2}$O and ${\\mathrm{D}}_{2}$O","volume":"53","author":[{"family":"Shimizu","given":"H."},{"family":"Nabetani","given":"T."},{"family":"Nishiba","given":"T."},{"family":"Sasaki","given":"S."}],"issued":{"date-parts":[["1996",3,1]]}}}],"schema":"https://github.com/citation-style-language/schema/raw/master/csl-citation.json"} </w:instrText>
      </w:r>
      <w:r w:rsidRPr="00E76C3E">
        <w:rPr>
          <w:rFonts w:eastAsia="Arial"/>
        </w:rPr>
        <w:fldChar w:fldCharType="separate"/>
      </w:r>
      <w:r w:rsidRPr="000266C4">
        <w:t xml:space="preserve">(Shimizu </w:t>
      </w:r>
      <w:r w:rsidRPr="000266C4">
        <w:rPr>
          <w:i/>
          <w:iCs/>
        </w:rPr>
        <w:t>et al.</w:t>
      </w:r>
      <w:r w:rsidRPr="000266C4">
        <w:t>, 1996)</w:t>
      </w:r>
      <w:r w:rsidRPr="00E76C3E">
        <w:rPr>
          <w:rFonts w:eastAsia="Arial"/>
        </w:rPr>
        <w:fldChar w:fldCharType="end"/>
      </w:r>
      <w:r w:rsidRPr="004742BD">
        <w:rPr>
          <w:rFonts w:eastAsia="Arial"/>
        </w:rPr>
        <w:t xml:space="preserve">, transforming to ice VII at 2.1 </w:t>
      </w:r>
      <w:proofErr w:type="spellStart"/>
      <w:r w:rsidRPr="004742BD">
        <w:rPr>
          <w:rFonts w:eastAsia="Arial"/>
        </w:rPr>
        <w:t>GPa</w:t>
      </w:r>
      <w:proofErr w:type="spellEnd"/>
      <w:r w:rsidRPr="004742BD">
        <w:rPr>
          <w:rFonts w:eastAsia="Arial"/>
        </w:rPr>
        <w:t xml:space="preserve"> </w:t>
      </w:r>
      <w:r w:rsidRPr="00E76C3E">
        <w:rPr>
          <w:rFonts w:eastAsia="Arial"/>
        </w:rPr>
        <w:fldChar w:fldCharType="begin"/>
      </w:r>
      <w:r w:rsidR="006722F5">
        <w:rPr>
          <w:rFonts w:eastAsia="Arial"/>
        </w:rPr>
        <w:instrText xml:space="preserve"> ADDIN ZOTERO_ITEM CSL_CITATION {"citationID":"Ups4maDg","properties":{"formattedCitation":"(Shimizu {\\i{}et al.}, 1996)","plainCitation":"(Shimizu et al., 1996)","noteIndex":0},"citationItems":[{"id":"k3ssTldU/qDeuZ70v","uris":["http://zotero.org/users/local/uJBp8IoE/items/ZH3L3WH6"],"uri":["http://zotero.org/users/local/uJBp8IoE/items/ZH3L3WH6"],"itemData":{"id":298,"type":"article-journal","abstract":"High-pressure Brillouin spectroscopy has been used to determine acoustic velocities in any direction, refractive index, adiabatic elastic constants, and adiabatic bulk modulus of H2O and D2O ices at 300 K and at pressures between 1.05 and 2.1 GPa for tetragonal ice VI and above pressures up to 8 GPa for cubic ice VII. Typical values of elastic constants for H2O ice VI are C11=32.8, C12=11.8, C13=14.7, C33=27.8, C44=6.3, and C66=5.9 GPa at the pressure of 1.23 GPa. Refractive index and elastic constants show no distinction between H2O and D2O over the observed pressure ranges. At ice VI→VII transition at 2.1 GPa, acoustic velocities, refractive index, and elastic constants present drastic changes, but the adiabatic bulk modulus shows almost continuous change which is most likely to relate the common features of the self-clathrate structure and the potential function in both VI and VII ices. © 1996 The American Physical Society.","container-title":"Physical Review B","DOI":"10.1103/PhysRevB.53.6107","issue":"10","journalAbbreviation":"Phys. Rev. B","note":"publisher: American Physical Society","page":"6107-6110","source":"APS","title":"High-pressure elastic properties of the VI and VII phase of ice in dense ${\\mathrm{H}}_{2}$O and ${\\mathrm{D}}_{2}$O","volume":"53","author":[{"family":"Shimizu","given":"H."},{"family":"Nabetani","given":"T."},{"family":"Nishiba","given":"T."},{"family":"Sasaki","given":"S."}],"issued":{"date-parts":[["1996",3,1]]}}}],"schema":"https://github.com/citation-style-language/schema/raw/master/csl-citation.json"} </w:instrText>
      </w:r>
      <w:r w:rsidRPr="00E76C3E">
        <w:rPr>
          <w:rFonts w:eastAsia="Arial"/>
        </w:rPr>
        <w:fldChar w:fldCharType="separate"/>
      </w:r>
      <w:r w:rsidRPr="000266C4">
        <w:t xml:space="preserve">(Shimizu </w:t>
      </w:r>
      <w:r w:rsidRPr="000266C4">
        <w:rPr>
          <w:i/>
          <w:iCs/>
        </w:rPr>
        <w:t>et al.</w:t>
      </w:r>
      <w:r w:rsidRPr="000266C4">
        <w:t>, 1996)</w:t>
      </w:r>
      <w:r w:rsidRPr="00E76C3E">
        <w:rPr>
          <w:rFonts w:eastAsia="Arial"/>
        </w:rPr>
        <w:fldChar w:fldCharType="end"/>
      </w:r>
      <w:r w:rsidRPr="004742BD">
        <w:rPr>
          <w:rFonts w:eastAsia="Arial"/>
        </w:rPr>
        <w:t>. The ice VI melt</w:t>
      </w:r>
      <w:r>
        <w:rPr>
          <w:rFonts w:eastAsia="Arial"/>
        </w:rPr>
        <w:t>ing</w:t>
      </w:r>
      <w:r w:rsidRPr="004742BD">
        <w:rPr>
          <w:rFonts w:eastAsia="Arial"/>
        </w:rPr>
        <w:t xml:space="preserve"> curve has a positive </w:t>
      </w:r>
      <w:r w:rsidRPr="006264C7">
        <w:rPr>
          <w:rFonts w:eastAsia="Arial"/>
          <w:i/>
        </w:rPr>
        <w:t>P</w:t>
      </w:r>
      <w:r w:rsidRPr="004742BD">
        <w:rPr>
          <w:rFonts w:eastAsia="Arial"/>
        </w:rPr>
        <w:t>-</w:t>
      </w:r>
      <w:r w:rsidRPr="006264C7">
        <w:rPr>
          <w:rFonts w:eastAsia="Arial"/>
          <w:i/>
        </w:rPr>
        <w:t>T</w:t>
      </w:r>
      <w:r w:rsidRPr="004742BD">
        <w:rPr>
          <w:rFonts w:eastAsia="Arial"/>
        </w:rPr>
        <w:t xml:space="preserve"> slope, terminating at the liquid/ice-VI/ice-VII triple point at 2.2 </w:t>
      </w:r>
      <w:proofErr w:type="spellStart"/>
      <w:r w:rsidRPr="004742BD">
        <w:rPr>
          <w:rFonts w:eastAsia="Arial"/>
        </w:rPr>
        <w:t>GPa</w:t>
      </w:r>
      <w:proofErr w:type="spellEnd"/>
      <w:r w:rsidRPr="004742BD">
        <w:rPr>
          <w:rFonts w:eastAsia="Arial"/>
        </w:rPr>
        <w:t xml:space="preserve"> and 354.75 K </w:t>
      </w:r>
      <w:r w:rsidRPr="00E76C3E">
        <w:rPr>
          <w:rFonts w:eastAsia="Arial"/>
        </w:rPr>
        <w:fldChar w:fldCharType="begin"/>
      </w:r>
      <w:r w:rsidR="006722F5">
        <w:rPr>
          <w:rFonts w:eastAsia="Arial"/>
        </w:rPr>
        <w:instrText xml:space="preserve"> ADDIN ZOTERO_ITEM CSL_CITATION {"citationID":"vLgIqlT7","properties":{"formattedCitation":"(Pistorius {\\i{}et al.}, 1968)","plainCitation":"(Pistorius et al., 1968)","noteIndex":0},"citationItems":[{"id":"k3ssTldU/F1QfhxQD","uris":["http://zotero.org/users/local/uJBp8IoE/items/X2SACD33"],"uri":["http://zotero.org/users/local/uJBp8IoE/items/X2SACD33"],"itemData":{"id":240,"type":"article-journal","container-title":"The Journal of Chemical Physics","DOI":"10.1063/1.1668248","ISSN":"0021-9606","issue":"12","journalAbbreviation":"J. Chem. Phys.","note":"publisher: American Institute of Physics","page":"5509-5514","source":"aip.scitation.org (Atypon)","title":"Phase Diagrams of H2O and D2O at High Pressures","volume":"48","author":[{"family":"Pistorius","given":"Carl W. F. T."},{"family":"Rapoport","given":"Eliezer"},{"family":"Clark","given":"J. B."}],"issued":{"date-parts":[["1968",6,15]]}}}],"schema":"https://github.com/citation-style-language/schema/raw/master/csl-citation.json"} </w:instrText>
      </w:r>
      <w:r w:rsidRPr="00E76C3E">
        <w:rPr>
          <w:rFonts w:eastAsia="Arial"/>
        </w:rPr>
        <w:fldChar w:fldCharType="separate"/>
      </w:r>
      <w:r w:rsidRPr="000266C4">
        <w:t xml:space="preserve">(Pistorius </w:t>
      </w:r>
      <w:r w:rsidRPr="000266C4">
        <w:rPr>
          <w:i/>
          <w:iCs/>
        </w:rPr>
        <w:t>et al.</w:t>
      </w:r>
      <w:r w:rsidRPr="000266C4">
        <w:t>, 1968)</w:t>
      </w:r>
      <w:r w:rsidRPr="00E76C3E">
        <w:rPr>
          <w:rFonts w:eastAsia="Arial"/>
        </w:rPr>
        <w:fldChar w:fldCharType="end"/>
      </w:r>
      <w:r w:rsidRPr="004742BD">
        <w:rPr>
          <w:rFonts w:eastAsia="Arial"/>
        </w:rPr>
        <w:t xml:space="preserve">. </w:t>
      </w:r>
    </w:p>
    <w:p w14:paraId="3A4840DE" w14:textId="3F1E70BE" w:rsidR="00A20AFF" w:rsidRPr="006A1872" w:rsidRDefault="00A20AFF" w:rsidP="00A20AFF">
      <w:pPr>
        <w:pStyle w:val="IUCrbodytext"/>
        <w:rPr>
          <w:rFonts w:eastAsia="Arial"/>
          <w:color w:val="000000" w:themeColor="text1"/>
          <w:shd w:val="clear" w:color="FDFDFD" w:fill="FDFDFD"/>
        </w:rPr>
      </w:pPr>
      <w:r w:rsidRPr="004742BD">
        <w:rPr>
          <w:rFonts w:eastAsia="Arial"/>
        </w:rPr>
        <w:t>Laser-driven compression experiments reported striking deviations from the equilibrium phase diagram when H</w:t>
      </w:r>
      <w:r w:rsidRPr="004742BD">
        <w:rPr>
          <w:rFonts w:eastAsia="Arial"/>
          <w:vertAlign w:val="subscript"/>
        </w:rPr>
        <w:t>2</w:t>
      </w:r>
      <w:r w:rsidRPr="004742BD">
        <w:rPr>
          <w:rFonts w:eastAsia="Arial"/>
        </w:rPr>
        <w:t>O is compressed along the quasi-</w:t>
      </w:r>
      <w:proofErr w:type="spellStart"/>
      <w:r w:rsidRPr="004742BD">
        <w:rPr>
          <w:rFonts w:eastAsia="Arial"/>
        </w:rPr>
        <w:t>isentrope</w:t>
      </w:r>
      <w:proofErr w:type="spellEnd"/>
      <w:r w:rsidRPr="004742BD">
        <w:rPr>
          <w:rFonts w:eastAsia="Arial"/>
        </w:rPr>
        <w:t xml:space="preserve"> </w:t>
      </w:r>
      <w:r w:rsidRPr="00E76C3E">
        <w:rPr>
          <w:rFonts w:eastAsia="Arial"/>
        </w:rPr>
        <w:fldChar w:fldCharType="begin"/>
      </w:r>
      <w:r w:rsidR="006722F5">
        <w:rPr>
          <w:rFonts w:eastAsia="Arial"/>
        </w:rPr>
        <w:instrText xml:space="preserve"> ADDIN ZOTERO_ITEM CSL_CITATION {"citationID":"SVQixJKM","properties":{"unsorted":true,"formattedCitation":"(Dolan {\\i{}et al.}, 2007; Gleason {\\i{}et al.}, 2017; Marshall {\\i{}et al.}, 2021)","plainCitation":"(Dolan et al., 2007; Gleason et al., 2017; Marshall et al., 2021)","noteIndex":0},"citationItems":[{"id":18,"uris":["http://zotero.org/users/local/dwaXvkNj/items/ZUZTTEGD"],"uri":["http://zotero.org/users/local/dwaXvkNj/items/ZUZTTEGD"],"itemData":{"id":18,"type":"article-journal","title":"A metastable limit for compressed liquid water","container-title":"Nature Physics","page":"339-342","volume":"3","issue":"5","source":"www.nature.com","abstract":"The transformation of liquid water to solid ice is typically a slow process. To cool a sample below the melting point requires some time, as does nucleation from the metastable liquid1, so freezing usually occurs over many seconds2. Freezing conditions can be created much more quickly using isentropic compression techniques, which provide insight into the limiting timescales of the phase transition. Here, we show that water rapidly freezes without a nucleator under sufficient compression, establishing a practical limit for the metastable liquid phase. Above 7 GPa, compressed water completely transforms to a high-pressure phase within a few nanoseconds. The consistent observation of freezing with different samples and container materials suggests that the transition nucleates homogeneously. The observation of complete freezing on these timescales further implies that the liquid reaches a hypercooled state3.","DOI":"10.1038/nphys562","ISSN":"1745-2481","journalAbbreviation":"Nat. Phys.","language":"en","author":[{"family":"Dolan","given":"D. H."},{"family":"Knudson","given":"M. D."},{"family":"Hall","given":"C. A."},{"family":"Deeney","given":"C."}],"issued":{"date-parts":[["2007",5]]}}},{"id":"k3ssTldU/JqkJz7lY","uris":["http://zotero.org/users/local/uJBp8IoE/items/73VHC4ZI"],"uri":["http://zotero.org/users/local/uJBp8IoE/items/73VHC4ZI"],"itemData":{"id":"QHeKLhhU/jZ5jqJ8k","type":"article-journal","abstract":"Time-resolved x-ray diffraction (XRD) of compressed liquid water shows transformation to ice VII in 6 nsec, revealing crystallization rather than amorphous solidification during compression freezing. Application of classical nucleation theory indicates heterogeneous nucleation and one-dimensional (e.g., needlelike) growth. These first XRD data demonstrate rapid growth kinetics of ice VII with implications for fundamental physics of diffusion-mediated crystallization and thermodynamic modeling of collision or impact events on ice-rich planetary bodies.","container-title":"Physical Review Letters","DOI":"10.1103/PhysRevLett.119.025701","issue":"2","journalAbbreviation":"Phys. Rev. Lett.","note":"publisher: American Physical Society","page":"025701","source":"APS","title":"Compression Freezing Kinetics of Water to Ice VII","volume":"119","author":[{"family":"Gleason","given":"A. E."},{"family":"Bolme","given":"C. A."},{"family":"Galtier","given":"E."},{"family":"Lee","given":"H. J."},{"family":"Granados","given":"E."},{"family":"Dolan","given":"D. H."},{"family":"Seagle","given":"C. T."},{"family":"Ao","given":"T."},{"family":"Ali","given":"S."},{"family":"Lazicki","given":"A."},{"family":"Swift","given":"D."},{"family":"Celliers","given":"P."},{"family":"Mao","given":"W. L."}],"issued":{"date-parts":[["2017",7,11]]}}},{"id":"k3ssTldU/0qUmmOSV","uris":["http://zotero.org/users/local/uJBp8IoE/items/G2H4J6JP"],"uri":["http://zotero.org/users/local/uJBp8IoE/items/G2H4J6JP"],"itemData":{"id":"QHeKLhhU/b8vU2SMf","type":"article-journal","abstract":"The ubiquitous nature and unusual properties of water have motivated many studies on its metastability under temperature- or pressure-induced phase transformations. Here, nanosecond compression by a high-power laser is used to create the nonequilibrium conditions where liquid water persists well into the stable region of ice VII. Through our experiments, as well as a complementary theoretical-computational analysis based on classical nucleation theory, we report that the metastability limit of liquid water under nearly isentropic compression from ambient conditions is at least 8 GPa, higher than the 7 GPa previously reported for lower loading rates.","container-title":"Physical Review Letters","DOI":"10.1103/PhysRevLett.127.135701","issue":"13","journalAbbreviation":"Phys. Rev. Lett.","note":"publisher: American Physical Society","page":"135701","source":"APS","title":"Metastability of Liquid Water Freezing into Ice VII under Dynamic Compression","volume":"127","author":[{"family":"Marshall","given":"M. C."},{"family":"Millot","given":"M."},{"family":"Fratanduono","given":"D. E."},{"family":"Sterbentz","given":"D. M."},{"family":"Myint","given":"P. C."},{"family":"Belof","given":"J. L."},{"family":"Kim","given":"Y.-J."},{"family":"Coppari","given":"F."},{"family":"Ali","given":"S. J."},{"family":"Eggert","given":"J. H."},{"family":"Smith","given":"R. F."},{"family":"McNaney","given":"J. M."}],"issued":{"date-parts":[["2021",9,23]]}}}],"schema":"https://github.com/citation-style-language/schema/raw/master/csl-citation.json"} </w:instrText>
      </w:r>
      <w:r w:rsidRPr="00E76C3E">
        <w:rPr>
          <w:rFonts w:eastAsia="Arial"/>
        </w:rPr>
        <w:fldChar w:fldCharType="separate"/>
      </w:r>
      <w:r w:rsidRPr="000266C4">
        <w:t xml:space="preserve">(Dolan </w:t>
      </w:r>
      <w:r w:rsidRPr="000266C4">
        <w:rPr>
          <w:i/>
          <w:iCs/>
        </w:rPr>
        <w:t>et al.</w:t>
      </w:r>
      <w:r w:rsidRPr="000266C4">
        <w:t xml:space="preserve">, 2007; Gleason </w:t>
      </w:r>
      <w:r w:rsidRPr="000266C4">
        <w:rPr>
          <w:i/>
          <w:iCs/>
        </w:rPr>
        <w:t>et al.</w:t>
      </w:r>
      <w:r w:rsidRPr="000266C4">
        <w:t xml:space="preserve">, 2017; Marshall </w:t>
      </w:r>
      <w:r w:rsidRPr="000266C4">
        <w:rPr>
          <w:i/>
          <w:iCs/>
        </w:rPr>
        <w:t>et al.</w:t>
      </w:r>
      <w:r w:rsidRPr="000266C4">
        <w:t>, 2021)</w:t>
      </w:r>
      <w:r w:rsidRPr="00E76C3E">
        <w:rPr>
          <w:rFonts w:eastAsia="Arial"/>
        </w:rPr>
        <w:fldChar w:fldCharType="end"/>
      </w:r>
      <w:r w:rsidRPr="004742BD">
        <w:rPr>
          <w:rFonts w:eastAsia="Arial"/>
        </w:rPr>
        <w:t xml:space="preserve">, which crosses the liquid/ice-VII phase boundary at 2.2 </w:t>
      </w:r>
      <w:proofErr w:type="spellStart"/>
      <w:r w:rsidRPr="004742BD">
        <w:rPr>
          <w:rFonts w:eastAsia="Arial"/>
        </w:rPr>
        <w:t>GPa</w:t>
      </w:r>
      <w:proofErr w:type="spellEnd"/>
      <w:r w:rsidRPr="004742BD">
        <w:rPr>
          <w:rFonts w:eastAsia="Arial"/>
        </w:rPr>
        <w:t xml:space="preserve"> </w:t>
      </w:r>
      <w:r w:rsidRPr="00E76C3E">
        <w:rPr>
          <w:rFonts w:eastAsia="Arial"/>
        </w:rPr>
        <w:fldChar w:fldCharType="begin"/>
      </w:r>
      <w:r>
        <w:rPr>
          <w:rFonts w:eastAsia="Arial"/>
        </w:rPr>
        <w:instrText xml:space="preserve"> ADDIN ZOTERO_ITEM CSL_CITATION {"citationID":"eoRjtAKO","properties":{"formattedCitation":"(Myint {\\i{}et al.}, 2017)","plainCitation":"(Myint et al., 2017)","noteIndex":0},"citationItems":[{"id":52,"uris":["http://zotero.org/users/local/dwaXvkNj/items/VPDLK5TU"],"uri":["http://zotero.org/users/local/dwaXvkNj/items/VPDLK5TU"],"itemData":{"id":52,"type":"article-journal","title":"Free energy models for ice VII and liquid water derived from pressure, entropy, and heat capacity relations","container-title":"The Journal of Chemical Physics","page":"084505","volume":"147","issue":"8","source":"aip.scitation.org (Atypon)","DOI":"10.1063/1.4989582","ISSN":"0021-9606","journalAbbreviation":"J. Chem. Phys.","author":[{"family":"Myint","given":"Philip C."},{"family":"Benedict","given":"Lorin X."},{"family":"Belof","given":"Jonathan L."}],"issued":{"date-parts":[["2017",8,28]]}}}],"schema":"https://github.com/citation-style-language/schema/raw/master/csl-citation.json"} </w:instrText>
      </w:r>
      <w:r w:rsidRPr="00E76C3E">
        <w:rPr>
          <w:rFonts w:eastAsia="Arial"/>
        </w:rPr>
        <w:fldChar w:fldCharType="separate"/>
      </w:r>
      <w:r w:rsidRPr="000266C4">
        <w:t xml:space="preserve">(Myint </w:t>
      </w:r>
      <w:r w:rsidRPr="000266C4">
        <w:rPr>
          <w:i/>
          <w:iCs/>
        </w:rPr>
        <w:t>et al.</w:t>
      </w:r>
      <w:r w:rsidRPr="000266C4">
        <w:t xml:space="preserve">, </w:t>
      </w:r>
      <w:r w:rsidRPr="000266C4">
        <w:lastRenderedPageBreak/>
        <w:t>2017)</w:t>
      </w:r>
      <w:r w:rsidRPr="00E76C3E">
        <w:rPr>
          <w:rFonts w:eastAsia="Arial"/>
        </w:rPr>
        <w:fldChar w:fldCharType="end"/>
      </w:r>
      <w:r w:rsidRPr="004742BD">
        <w:rPr>
          <w:rFonts w:eastAsia="Arial"/>
        </w:rPr>
        <w:t>. Shockless ramp-compression experiments found that liquid H</w:t>
      </w:r>
      <w:r w:rsidRPr="004742BD">
        <w:rPr>
          <w:rFonts w:eastAsia="Arial"/>
          <w:vertAlign w:val="subscript"/>
        </w:rPr>
        <w:t>2</w:t>
      </w:r>
      <w:r w:rsidRPr="004742BD">
        <w:rPr>
          <w:rFonts w:eastAsia="Arial"/>
        </w:rPr>
        <w:t>O can be super-compressed to 8 </w:t>
      </w:r>
      <w:proofErr w:type="spellStart"/>
      <w:r w:rsidRPr="004742BD">
        <w:rPr>
          <w:rFonts w:eastAsia="Arial"/>
        </w:rPr>
        <w:t>GPa</w:t>
      </w:r>
      <w:proofErr w:type="spellEnd"/>
      <w:r w:rsidRPr="004742BD">
        <w:rPr>
          <w:rFonts w:eastAsia="Arial"/>
        </w:rPr>
        <w:t xml:space="preserve"> when compressed at 3×10</w:t>
      </w:r>
      <w:r w:rsidRPr="004742BD">
        <w:rPr>
          <w:rFonts w:eastAsia="Arial"/>
          <w:vertAlign w:val="superscript"/>
        </w:rPr>
        <w:t>6</w:t>
      </w:r>
      <w:r w:rsidRPr="004742BD">
        <w:rPr>
          <w:rFonts w:eastAsia="Arial"/>
        </w:rPr>
        <w:t> </w:t>
      </w:r>
      <w:proofErr w:type="spellStart"/>
      <w:r w:rsidRPr="004742BD">
        <w:rPr>
          <w:rFonts w:eastAsia="Arial"/>
        </w:rPr>
        <w:t>TPa</w:t>
      </w:r>
      <w:proofErr w:type="spellEnd"/>
      <w:r w:rsidRPr="004742BD">
        <w:rPr>
          <w:rFonts w:eastAsia="Arial"/>
        </w:rPr>
        <w:t xml:space="preserve">/s </w:t>
      </w:r>
      <w:r w:rsidRPr="00E76C3E">
        <w:rPr>
          <w:rFonts w:eastAsia="Arial"/>
        </w:rPr>
        <w:fldChar w:fldCharType="begin"/>
      </w:r>
      <w:r w:rsidR="006722F5">
        <w:rPr>
          <w:rFonts w:eastAsia="Arial"/>
        </w:rPr>
        <w:instrText xml:space="preserve"> ADDIN ZOTERO_ITEM CSL_CITATION {"citationID":"wtIZVBtu","properties":{"formattedCitation":"(Marshall {\\i{}et al.}, 2021)","plainCitation":"(Marshall et al., 2021)","noteIndex":0},"citationItems":[{"id":"k3ssTldU/0qUmmOSV","uris":["http://zotero.org/users/local/uJBp8IoE/items/G2H4J6JP"],"uri":["http://zotero.org/users/local/uJBp8IoE/items/G2H4J6JP"],"itemData":{"id":"QHeKLhhU/b8vU2SMf","type":"article-journal","abstract":"The ubiquitous nature and unusual properties of water have motivated many studies on its metastability under temperature- or pressure-induced phase transformations. Here, nanosecond compression by a high-power laser is used to create the nonequilibrium conditions where liquid water persists well into the stable region of ice VII. Through our experiments, as well as a complementary theoretical-computational analysis based on classical nucleation theory, we report that the metastability limit of liquid water under nearly isentropic compression from ambient conditions is at least 8 GPa, higher than the 7 GPa previously reported for lower loading rates.","container-title":"Physical Review Letters","DOI":"10.1103/PhysRevLett.127.135701","issue":"13","journalAbbreviation":"Phys. Rev. Lett.","note":"publisher: American Physical Society","page":"135701","source":"APS","title":"Metastability of Liquid Water Freezing into Ice VII under Dynamic Compression","volume":"127","author":[{"family":"Marshall","given":"M. C."},{"family":"Millot","given":"M."},{"family":"Fratanduono","given":"D. E."},{"family":"Sterbentz","given":"D. M."},{"family":"Myint","given":"P. C."},{"family":"Belof","given":"J. L."},{"family":"Kim","given":"Y.-J."},{"family":"Coppari","given":"F."},{"family":"Ali","given":"S. J."},{"family":"Eggert","given":"J. H."},{"family":"Smith","given":"R. F."},{"family":"McNaney","given":"J. M."}],"issued":{"date-parts":[["2021",9,23]]}}}],"schema":"https://github.com/citation-style-language/schema/raw/master/csl-citation.json"} </w:instrText>
      </w:r>
      <w:r w:rsidRPr="00E76C3E">
        <w:rPr>
          <w:rFonts w:eastAsia="Arial"/>
        </w:rPr>
        <w:fldChar w:fldCharType="separate"/>
      </w:r>
      <w:r w:rsidRPr="004742BD">
        <w:t xml:space="preserve">(Marshall </w:t>
      </w:r>
      <w:r w:rsidRPr="004742BD">
        <w:rPr>
          <w:i/>
          <w:iCs/>
        </w:rPr>
        <w:t>et al.</w:t>
      </w:r>
      <w:r w:rsidRPr="004742BD">
        <w:t>, 2021)</w:t>
      </w:r>
      <w:r w:rsidRPr="00E76C3E">
        <w:rPr>
          <w:rFonts w:eastAsia="Arial"/>
        </w:rPr>
        <w:fldChar w:fldCharType="end"/>
      </w:r>
      <w:r w:rsidRPr="004742BD">
        <w:rPr>
          <w:rFonts w:eastAsia="Arial"/>
        </w:rPr>
        <w:t>, well into the stability field of ice VII. This is currently thought to represent the metastability limit of liquid H</w:t>
      </w:r>
      <w:r w:rsidRPr="004742BD">
        <w:rPr>
          <w:rFonts w:eastAsia="Arial"/>
          <w:vertAlign w:val="subscript"/>
        </w:rPr>
        <w:t>2</w:t>
      </w:r>
      <w:r w:rsidRPr="004742BD">
        <w:rPr>
          <w:rFonts w:eastAsia="Arial"/>
        </w:rPr>
        <w:t xml:space="preserve">O, where freezing is dominated by homogeneous nucleation </w:t>
      </w:r>
      <w:r w:rsidRPr="00E76C3E">
        <w:rPr>
          <w:rFonts w:eastAsia="Arial"/>
        </w:rPr>
        <w:fldChar w:fldCharType="begin"/>
      </w:r>
      <w:r w:rsidR="006722F5">
        <w:rPr>
          <w:rFonts w:eastAsia="Arial"/>
        </w:rPr>
        <w:instrText xml:space="preserve"> ADDIN ZOTERO_ITEM CSL_CITATION {"citationID":"jf1aWevQ","properties":{"formattedCitation":"(Marshall {\\i{}et al.}, 2021)","plainCitation":"(Marshall et al., 2021)","noteIndex":0},"citationItems":[{"id":"k3ssTldU/0qUmmOSV","uris":["http://zotero.org/users/local/uJBp8IoE/items/G2H4J6JP"],"uri":["http://zotero.org/users/local/uJBp8IoE/items/G2H4J6JP"],"itemData":{"id":"pCur8H7f/wX6mJGVG","type":"article-journal","abstract":"The ubiquitous nature and unusual properties of water have motivated many studies on its metastability under temperature- or pressure-induced phase transformations. Here, nanosecond compression by a high-power laser is used to create the nonequilibrium conditions where liquid water persists well into the stable region of ice VII. Through our experiments, as well as a complementary theoretical-computational analysis based on classical nucleation theory, we report that the metastability limit of liquid water under nearly isentropic compression from ambient conditions is at least 8 GPa, higher than the 7 GPa previously reported for lower loading rates.","container-title":"Physical Review Letters","DOI":"10.1103/PhysRevLett.127.135701","issue":"13","journalAbbreviation":"Phys. Rev. Lett.","note":"publisher: American Physical Society","page":"135701","source":"APS","title":"Metastability of Liquid Water Freezing into Ice VII under Dynamic Compression","volume":"127","author":[{"family":"Marshall","given":"M. C."},{"family":"Millot","given":"M."},{"family":"Fratanduono","given":"D. E."},{"family":"Sterbentz","given":"D. M."},{"family":"Myint","given":"P. C."},{"family":"Belof","given":"J. L."},{"family":"Kim","given":"Y.-J."},{"family":"Coppari","given":"F."},{"family":"Ali","given":"S. J."},{"family":"Eggert","given":"J. H."},{"family":"Smith","given":"R. F."},{"family":"McNaney","given":"J. M."}],"issued":{"date-parts":[["2021",9,23]]}}}],"schema":"https://github.com/citation-style-language/schema/raw/master/csl-citation.json"} </w:instrText>
      </w:r>
      <w:r w:rsidRPr="00E76C3E">
        <w:rPr>
          <w:rFonts w:eastAsia="Arial"/>
        </w:rPr>
        <w:fldChar w:fldCharType="separate"/>
      </w:r>
      <w:r w:rsidRPr="00E66957">
        <w:t xml:space="preserve">(Marshall </w:t>
      </w:r>
      <w:r w:rsidRPr="00E66957">
        <w:rPr>
          <w:i/>
          <w:iCs/>
        </w:rPr>
        <w:t>et al.</w:t>
      </w:r>
      <w:r w:rsidRPr="00E66957">
        <w:t>, 2021)</w:t>
      </w:r>
      <w:r w:rsidRPr="00E76C3E">
        <w:rPr>
          <w:rFonts w:eastAsia="Arial"/>
        </w:rPr>
        <w:fldChar w:fldCharType="end"/>
      </w:r>
      <w:r w:rsidRPr="004742BD">
        <w:rPr>
          <w:rFonts w:eastAsia="Arial"/>
        </w:rPr>
        <w:t>. H</w:t>
      </w:r>
      <w:r w:rsidRPr="004742BD">
        <w:rPr>
          <w:rFonts w:eastAsia="Arial"/>
          <w:vertAlign w:val="subscript"/>
        </w:rPr>
        <w:t>2</w:t>
      </w:r>
      <w:r w:rsidRPr="004742BD">
        <w:rPr>
          <w:rFonts w:eastAsia="Arial"/>
        </w:rPr>
        <w:t xml:space="preserve">O has also been the focus of numerous </w:t>
      </w:r>
      <w:proofErr w:type="spellStart"/>
      <w:r w:rsidRPr="004742BD">
        <w:rPr>
          <w:rFonts w:eastAsia="Arial"/>
        </w:rPr>
        <w:t>dDAC</w:t>
      </w:r>
      <w:proofErr w:type="spellEnd"/>
      <w:r w:rsidRPr="004742BD">
        <w:rPr>
          <w:rFonts w:eastAsia="Arial"/>
        </w:rPr>
        <w:t xml:space="preserve"> studies which found that crystallization behaviour is highly dependent on compression rate: liquid H</w:t>
      </w:r>
      <w:r w:rsidRPr="004742BD">
        <w:rPr>
          <w:rFonts w:eastAsia="Arial"/>
          <w:vertAlign w:val="subscript"/>
        </w:rPr>
        <w:t>2</w:t>
      </w:r>
      <w:r w:rsidRPr="004742BD">
        <w:rPr>
          <w:rFonts w:eastAsia="Arial"/>
        </w:rPr>
        <w:t xml:space="preserve">O crystallizes directly in ice VI on slow compression, but transforms directly to either ice VII or amorphous ice on fast compression </w:t>
      </w:r>
      <w:r w:rsidRPr="00E76C3E">
        <w:rPr>
          <w:rFonts w:eastAsia="Arial"/>
        </w:rPr>
        <w:fldChar w:fldCharType="begin"/>
      </w:r>
      <w:r w:rsidR="006722F5">
        <w:rPr>
          <w:rFonts w:eastAsia="Arial"/>
        </w:rPr>
        <w:instrText xml:space="preserve"> ADDIN ZOTERO_ITEM CSL_CITATION {"citationID":"RiXKg50K","properties":{"formattedCitation":"(Lee {\\i{}et al.}, 2006; Chen &amp; Yoo, 2011)","plainCitation":"(Lee et al., 2006; Chen &amp; Yoo, 2011)","noteIndex":0},"citationItems":[{"id":"k3ssTldU/esBATAOW","uris":["http://zotero.org/users/local/uJBp8IoE/items/JSGLFW4X"],"uri":["http://zotero.org/users/local/uJBp8IoE/items/JSGLFW4X"],"itemData":{"id":"pCur8H7f/5jnbHu4c","type":"article-journal","abstract":"We report the observation of ice VII, directly crystallized from metastably supercompressed liquid water at pressure of up to 1.8GPa, well within the stability field of ice VI. This result is achieved by making time-resolved measurements of pressure-induced crystallization using a unique instrument, a dynamic diamond anvil cell (dDAC), which permits the measurement of pressure/time-dependent phase transformation pathways. We are able to evaluate the interfacial free energy, and find that the value for supercompressed water (SW)/ice VII is smaller than that of SW/ice VI, indicating that the local order of the SW is more similar to ice VII than ice VI. This result is consistent with recent studies, which suggest that the local order of high density water is bcc-like, as in ice VII.","container-title":"Physical Review B","DOI":"10.1103/PhysRevB.74.134112","issue":"13","journalAbbreviation":"Phys. Rev. B","note":"publisher: American Physical Society","page":"134112","source":"APS","title":"Crystallization of water in a dynamic diamond-anvil cell: Evidence for ice VII-like local order in supercompressed water","title-short":"Crystallization of water in a dynamic diamond-anvil cell","volume":"74","author":[{"family":"Lee","given":"Geun Woo"},{"family":"Evans","given":"William J."},{"family":"Yoo","given":"Choong-Shik"}],"issued":{"date-parts":[["2006",10,30]]}}},{"id":"k3ssTldU/64wF8cok","uris":["http://zotero.org/users/local/uJBp8IoE/items/KZFPY64X"],"uri":["http://zotero.org/users/local/uJBp8IoE/items/KZFPY64X"],"itemData":{"id":"pCur8H7f/HNdNjHrM","type":"article-journal","abstract":"The phase diagram of water is both unusual and complex, exhibiting a wide range of polymorphs including proton-ordered or disordered forms. In addition, a variety of stable and metastable forms are observed. The richness of H2O phases attests the versatility of hydrogen-bonded network structures that include kinetically stable amorphous ices. Information of the amorphous solids, however, is rarely available especially for the stability field and transformation dynamics—but all reported to exist below the crystallization temperature of approximately 150–170 K below 4–5 GPa. Here, we present the evidence of high density amorphous (HDA) ice formed well above the crystallization temperature at 1 GPa—well inside the so-called “no-man’s land.” It is formed from metastable ice VII in the stability field of ice VI under rapid compression using dynamic-diamond anvil cell (d-DAC) and results from structural similarities between HDA and ice VII. The formation follows an interfacial growth mechanism unlike the melting process. Nevertheless, the occurrence of HDA along the extrapolated melt line of ice VII resembles the ice Ih-to-HDA transition, indicating that structural instabilities of parent ice VII and Ih drive the pressure-induced amorphization.","container-title":"Proceedings of the National Academy of Sciences","DOI":"10.1073/pnas.1100752108","ISSN":"0027-8424, 1091-6490","issue":"19","journalAbbreviation":"PNAS","language":"en","note":"publisher: National Academy of Sciences\nsection: Physical Sciences\nPMID: 21518902","page":"7685-7688","source":"www.pnas.org","title":"High density amorphous ice at room temperature","volume":"108","author":[{"family":"Chen","given":"Jing-Yin"},{"family":"Yoo","given":"Choong-Shik"}],"issued":{"date-parts":[["2011",5,10]]}}}],"schema":"https://github.com/citation-style-language/schema/raw/master/csl-citation.json"} </w:instrText>
      </w:r>
      <w:r w:rsidRPr="00E76C3E">
        <w:rPr>
          <w:rFonts w:eastAsia="Arial"/>
        </w:rPr>
        <w:fldChar w:fldCharType="separate"/>
      </w:r>
      <w:r w:rsidRPr="00E66957">
        <w:t xml:space="preserve">(Lee </w:t>
      </w:r>
      <w:r w:rsidRPr="00E66957">
        <w:rPr>
          <w:i/>
          <w:iCs/>
        </w:rPr>
        <w:t>et al.</w:t>
      </w:r>
      <w:r w:rsidRPr="00E66957">
        <w:t>, 2006; Chen &amp; Yoo, 2011)</w:t>
      </w:r>
      <w:r w:rsidRPr="00E76C3E">
        <w:rPr>
          <w:rFonts w:eastAsia="Arial"/>
        </w:rPr>
        <w:fldChar w:fldCharType="end"/>
      </w:r>
      <w:r w:rsidRPr="004742BD">
        <w:rPr>
          <w:rFonts w:eastAsia="Arial"/>
        </w:rPr>
        <w:t xml:space="preserve">. Here, we focus on the pressure-induced crystallization of water at fast compression </w:t>
      </w:r>
      <w:r w:rsidRPr="004742BD">
        <w:rPr>
          <w:rFonts w:eastAsia="Arial"/>
          <w:shd w:val="clear" w:color="FDFDFD" w:fill="FDFDFD"/>
        </w:rPr>
        <w:t xml:space="preserve">rates, providing direct structural identification using XRD which was </w:t>
      </w:r>
      <w:r w:rsidRPr="006A1872">
        <w:rPr>
          <w:rFonts w:eastAsia="Arial"/>
          <w:color w:val="000000" w:themeColor="text1"/>
          <w:shd w:val="clear" w:color="FDFDFD" w:fill="FDFDFD"/>
        </w:rPr>
        <w:t xml:space="preserve">not possible in earlier studies.  </w:t>
      </w:r>
    </w:p>
    <w:p w14:paraId="00ED5281" w14:textId="06583613" w:rsidR="00A20AFF" w:rsidRDefault="00A20AFF" w:rsidP="00A20AFF">
      <w:pPr>
        <w:pStyle w:val="IUCrbodytext"/>
        <w:rPr>
          <w:rFonts w:eastAsia="Arial"/>
          <w:shd w:val="clear" w:color="FDFDFD" w:fill="FDFDFD"/>
        </w:rPr>
      </w:pPr>
      <w:r w:rsidRPr="006A1872">
        <w:rPr>
          <w:rFonts w:eastAsia="Arial"/>
          <w:color w:val="000000" w:themeColor="text1"/>
          <w:shd w:val="clear" w:color="FDFDFD" w:fill="FDFDFD"/>
        </w:rPr>
        <w:t>The H</w:t>
      </w:r>
      <w:r w:rsidRPr="006A1872">
        <w:rPr>
          <w:rFonts w:eastAsia="Arial"/>
          <w:color w:val="000000" w:themeColor="text1"/>
          <w:shd w:val="clear" w:color="FDFDFD" w:fill="FDFDFD"/>
          <w:vertAlign w:val="subscript"/>
        </w:rPr>
        <w:t>2</w:t>
      </w:r>
      <w:r w:rsidRPr="006A1872">
        <w:rPr>
          <w:rFonts w:eastAsia="Arial"/>
          <w:color w:val="000000" w:themeColor="text1"/>
          <w:shd w:val="clear" w:color="FDFDFD" w:fill="FDFDFD"/>
        </w:rPr>
        <w:t>O sample was loaded into a symmetric DAC equipped with 500 µm culet diamonds</w:t>
      </w:r>
      <w:r w:rsidR="00D703AC" w:rsidRPr="006A1872">
        <w:rPr>
          <w:rFonts w:eastAsia="Arial"/>
          <w:color w:val="000000" w:themeColor="text1"/>
          <w:shd w:val="clear" w:color="FDFDFD" w:fill="FDFDFD"/>
        </w:rPr>
        <w:t xml:space="preserve"> and</w:t>
      </w:r>
      <w:r w:rsidRPr="006A1872">
        <w:rPr>
          <w:rFonts w:eastAsia="Arial"/>
          <w:color w:val="000000" w:themeColor="text1"/>
          <w:shd w:val="clear" w:color="FDFDFD" w:fill="FDFDFD"/>
        </w:rPr>
        <w:t xml:space="preserve"> </w:t>
      </w:r>
      <w:r w:rsidR="00D703AC" w:rsidRPr="006A1872">
        <w:rPr>
          <w:rFonts w:eastAsia="Arial"/>
          <w:color w:val="000000" w:themeColor="text1"/>
          <w:shd w:val="clear" w:color="FDFDFD" w:fill="FDFDFD"/>
        </w:rPr>
        <w:t>a</w:t>
      </w:r>
      <w:r w:rsidRPr="006A1872">
        <w:rPr>
          <w:rFonts w:eastAsia="Arial"/>
          <w:color w:val="000000" w:themeColor="text1"/>
          <w:shd w:val="clear" w:color="FDFDFD" w:fill="FDFDFD"/>
        </w:rPr>
        <w:t xml:space="preserve"> </w:t>
      </w:r>
      <w:proofErr w:type="gramStart"/>
      <w:r w:rsidRPr="006A1872">
        <w:rPr>
          <w:rFonts w:eastAsia="Arial"/>
          <w:color w:val="000000" w:themeColor="text1"/>
          <w:shd w:val="clear" w:color="FDFDFD" w:fill="FDFDFD"/>
        </w:rPr>
        <w:t>stainless steel</w:t>
      </w:r>
      <w:proofErr w:type="gramEnd"/>
      <w:r w:rsidRPr="006A1872">
        <w:rPr>
          <w:rFonts w:eastAsia="Arial"/>
          <w:color w:val="000000" w:themeColor="text1"/>
          <w:shd w:val="clear" w:color="FDFDFD" w:fill="FDFDFD"/>
        </w:rPr>
        <w:t xml:space="preserve"> gasket </w:t>
      </w:r>
      <w:r w:rsidRPr="006A1872">
        <w:rPr>
          <w:color w:val="000000" w:themeColor="text1"/>
        </w:rPr>
        <w:t xml:space="preserve">with a </w:t>
      </w:r>
      <w:r w:rsidRPr="006A1872">
        <w:rPr>
          <w:rFonts w:eastAsia="Arial"/>
          <w:color w:val="000000" w:themeColor="text1"/>
          <w:shd w:val="clear" w:color="FDFDFD" w:fill="FDFDFD"/>
        </w:rPr>
        <w:t>39 µm thick sample chamber with</w:t>
      </w:r>
      <w:r w:rsidR="00D703AC" w:rsidRPr="006A1872">
        <w:rPr>
          <w:rFonts w:eastAsia="Arial"/>
          <w:color w:val="000000" w:themeColor="text1"/>
          <w:shd w:val="clear" w:color="FDFDFD" w:fill="FDFDFD"/>
        </w:rPr>
        <w:t xml:space="preserve"> </w:t>
      </w:r>
      <w:r w:rsidRPr="006A1872">
        <w:rPr>
          <w:color w:val="000000" w:themeColor="text1"/>
        </w:rPr>
        <w:t>a 250 µm hole diameter</w:t>
      </w:r>
      <w:r w:rsidRPr="006A1872">
        <w:rPr>
          <w:rFonts w:eastAsia="Arial"/>
          <w:color w:val="000000" w:themeColor="text1"/>
          <w:shd w:val="clear" w:color="FDFDFD" w:fill="FDFDFD"/>
        </w:rPr>
        <w:t xml:space="preserve">. A small grain of </w:t>
      </w:r>
      <w:proofErr w:type="spellStart"/>
      <w:r w:rsidRPr="006A1872">
        <w:rPr>
          <w:rFonts w:eastAsia="Arial"/>
          <w:color w:val="000000" w:themeColor="text1"/>
          <w:shd w:val="clear" w:color="FDFDFD" w:fill="FDFDFD"/>
        </w:rPr>
        <w:t>cBN</w:t>
      </w:r>
      <w:proofErr w:type="spellEnd"/>
      <w:r w:rsidRPr="006A1872">
        <w:rPr>
          <w:rFonts w:eastAsia="Arial"/>
          <w:color w:val="000000" w:themeColor="text1"/>
          <w:shd w:val="clear" w:color="FDFDFD" w:fill="FDFDFD"/>
        </w:rPr>
        <w:t xml:space="preserve"> was added to the sample chamber as an internal pressure standard, which was chosen due to its low x-ray absorption (λ = 5889 µm </w:t>
      </w:r>
      <w:r w:rsidRPr="006A1872">
        <w:rPr>
          <w:rFonts w:eastAsia="Arial"/>
          <w:color w:val="000000" w:themeColor="text1"/>
          <w:shd w:val="clear" w:color="FDFDFD" w:fill="FDFDFD"/>
        </w:rPr>
        <w:fldChar w:fldCharType="begin"/>
      </w:r>
      <w:r w:rsidR="006722F5" w:rsidRPr="006A1872">
        <w:rPr>
          <w:rFonts w:eastAsia="Arial"/>
          <w:color w:val="000000" w:themeColor="text1"/>
          <w:shd w:val="clear" w:color="FDFDFD" w:fill="FDFDFD"/>
        </w:rPr>
        <w:instrText xml:space="preserve"> ADDIN ZOTERO_ITEM CSL_CITATION {"citationID":"TfQsrrz8","properties":{"formattedCitation":"(Henke {\\i{}et al.}, 1993)","plainCitation":"(Henke et al., 1993)","noteIndex":0},"citationItems":[{"id":42,"uris":["http://zotero.org/users/local/dwaXvkNj/items/SBSD5Y24"],"uri":["http://zotero.org/users/local/dwaXvkNj/items/SBSD5Y24"],"itemData":{"id":42,"type":"article-journal","title":"X-Ray Interactions: Photoabsorption, Scattering, Transmission, and Reflection at E = 50-30,000 eV, Z = 1-92","container-title":"Atomic Data and Nuclear Data Tables","page":"181-342","volume":"54","issue":"2","source":"ScienceDirect","abstract":"The primary interactions of low-energy x-rays within condensed matter, viz. photoabsorption and coherent scattering, have been described for photon energies outside the absorption threshold regions by using atomic scattering factors. The atomic scattering factors may be accurately determined from the atomic photoabsorption cross sections using modified Kramers-Kronig dispersion relations. From a synthesis of the currently available experimental data and recent theoretical calculations for photoabsorption, the angle-independent, forward-scattering components of the atomic scattering factors have been thus semiempirically determined and tabulated here for 92 elements and for the region 50-30,000 eV. Atomic scattering factors for all angles of coherent scattering and at the higher photon energies are obtained from these tabulated forward-scattering values by adding a simple angle-dependent form-factor correction. The incoherent scattering contributions that become significant for the light elements at the higher photon energies are similarly determined. The basic x-ray interaction relations that are used in applied x-ray physics are presented here in terms of the atomic scattering factors. The bulk optical constants are also related to the atomic scattering factors. These atomic and optical relations are applied to the detailed calculation of the reflectivity characteristics of a series of practical x-ray mirror, multilayer, and crystal monochromators. Comparisons of the results of this semiempirical, \"atomic-like\" description of x-ray interactions for the low-energy region with those of experiment and ab initio theory are presented.","DOI":"10.1006/adnd.1993.1013","ISSN":"0092-640X","shortTitle":"X-Ray Interactions","journalAbbreviation":"Atomic Data and Nuclear Data Tables","language":"en","author":[{"family":"Henke","given":"B. L."},{"family":"Gullikson","given":"E. M."},{"family":"Davis","given":"J. C."}],"issued":{"date-parts":[["1993",7,1]]}}}],"schema":"https://github.com/citation-style-language/schema/raw/master/csl-citation.json"} </w:instrText>
      </w:r>
      <w:r w:rsidRPr="006A1872">
        <w:rPr>
          <w:rFonts w:eastAsia="Arial"/>
          <w:color w:val="000000" w:themeColor="text1"/>
          <w:shd w:val="clear" w:color="FDFDFD" w:fill="FDFDFD"/>
        </w:rPr>
        <w:fldChar w:fldCharType="separate"/>
      </w:r>
      <w:r w:rsidRPr="006A1872">
        <w:rPr>
          <w:color w:val="000000" w:themeColor="text1"/>
        </w:rPr>
        <w:t xml:space="preserve">(Henke </w:t>
      </w:r>
      <w:r w:rsidRPr="006A1872">
        <w:rPr>
          <w:i/>
          <w:iCs/>
          <w:color w:val="000000" w:themeColor="text1"/>
        </w:rPr>
        <w:t>et al.</w:t>
      </w:r>
      <w:r w:rsidRPr="006A1872">
        <w:rPr>
          <w:color w:val="000000" w:themeColor="text1"/>
        </w:rPr>
        <w:t>, 1993)</w:t>
      </w:r>
      <w:r w:rsidRPr="006A1872">
        <w:rPr>
          <w:rFonts w:eastAsia="Arial"/>
          <w:color w:val="000000" w:themeColor="text1"/>
          <w:shd w:val="clear" w:color="FDFDFD" w:fill="FDFDFD"/>
        </w:rPr>
        <w:fldChar w:fldCharType="end"/>
      </w:r>
      <w:r w:rsidRPr="006A1872">
        <w:rPr>
          <w:rFonts w:eastAsia="Arial"/>
          <w:color w:val="000000" w:themeColor="text1"/>
          <w:shd w:val="clear" w:color="FDFDFD" w:fill="FDFDFD"/>
        </w:rPr>
        <w:t xml:space="preserve">) at this photon energy. A small ruby sphere was included for pressure determination after loading </w:t>
      </w:r>
      <w:r w:rsidRPr="006A1872">
        <w:rPr>
          <w:rFonts w:eastAsia="Arial"/>
          <w:color w:val="000000" w:themeColor="text1"/>
          <w:shd w:val="clear" w:color="FDFDFD" w:fill="FDFDFD"/>
        </w:rPr>
        <w:fldChar w:fldCharType="begin"/>
      </w:r>
      <w:r w:rsidR="006722F5" w:rsidRPr="006A1872">
        <w:rPr>
          <w:rFonts w:eastAsia="Arial"/>
          <w:color w:val="000000" w:themeColor="text1"/>
          <w:shd w:val="clear" w:color="FDFDFD" w:fill="FDFDFD"/>
        </w:rPr>
        <w:instrText xml:space="preserve"> ADDIN ZOTERO_ITEM CSL_CITATION {"citationID":"AaWYL1aQ","properties":{"formattedCitation":"(Mao {\\i{}et al.}, 1986)","plainCitation":"(Mao et al., 1986)","noteIndex":0},"citationItems":[{"id":110,"uris":["http://zotero.org/users/local/dwaXvkNj/items/IV62T8UG"],"uri":["http://zotero.org/users/local/dwaXvkNj/items/IV62T8UG"],"itemData":{"id":110,"type":"article-journal","title":"Calibration of the ruby pressure gauge to 800 kbar under quasi-hydrostatic conditions","container-title":"Journal of Geophysical Research: Solid Earth","page":"4673-4676","volume":"91","issue":"B5","source":"Wiley Online Library","abstract":"An improved calibration curve of the pressure shift of the ruby R1 emission line was obtained under quasi-hydrostatic conditions in the diamond-window, high-pressure cell to 800 kbar. Argon was the pressure-transmitting medium. Metallic copper, as a standard, was studied in situ by X ray diffraction. The reference pressure was determined by calibration against known equations of state of the copper sample and by previously obtained data on silver.","DOI":"10.1029/JB091iB05p04673","ISSN":"2156-2202","journalAbbreviation":"J. Geophys. Res. Solid Earth","language":"en","author":[{"family":"Mao","given":"H. K."},{"family":"Xu","given":"J."},{"family":"Bell","given":"P. M."}],"issued":{"date-parts":[["1986"]]}}}],"schema":"https://github.com/citation-style-language/schema/raw/master/csl-citation.json"} </w:instrText>
      </w:r>
      <w:r w:rsidRPr="006A1872">
        <w:rPr>
          <w:rFonts w:eastAsia="Arial"/>
          <w:color w:val="000000" w:themeColor="text1"/>
          <w:shd w:val="clear" w:color="FDFDFD" w:fill="FDFDFD"/>
        </w:rPr>
        <w:fldChar w:fldCharType="separate"/>
      </w:r>
      <w:r w:rsidRPr="006A1872">
        <w:rPr>
          <w:color w:val="000000" w:themeColor="text1"/>
        </w:rPr>
        <w:t xml:space="preserve">(Mao </w:t>
      </w:r>
      <w:r w:rsidRPr="006A1872">
        <w:rPr>
          <w:i/>
          <w:iCs/>
          <w:color w:val="000000" w:themeColor="text1"/>
        </w:rPr>
        <w:t>et al.</w:t>
      </w:r>
      <w:r w:rsidRPr="006A1872">
        <w:rPr>
          <w:color w:val="000000" w:themeColor="text1"/>
        </w:rPr>
        <w:t>, 1986)</w:t>
      </w:r>
      <w:r w:rsidRPr="006A1872">
        <w:rPr>
          <w:rFonts w:eastAsia="Arial"/>
          <w:color w:val="000000" w:themeColor="text1"/>
          <w:shd w:val="clear" w:color="FDFDFD" w:fill="FDFDFD"/>
        </w:rPr>
        <w:fldChar w:fldCharType="end"/>
      </w:r>
      <w:r w:rsidRPr="006A1872">
        <w:rPr>
          <w:rFonts w:eastAsia="Arial"/>
          <w:color w:val="000000" w:themeColor="text1"/>
          <w:shd w:val="clear" w:color="FDFDFD" w:fill="FDFDFD"/>
        </w:rPr>
        <w:t xml:space="preserve">. No ice reflections </w:t>
      </w:r>
      <w:r w:rsidRPr="004742BD">
        <w:rPr>
          <w:rFonts w:eastAsia="Arial"/>
          <w:shd w:val="clear" w:color="FDFDFD" w:fill="FDFDFD"/>
        </w:rPr>
        <w:t>were observed in the XRD patterns collected at P02.2, and the presence of liquid H</w:t>
      </w:r>
      <w:r w:rsidRPr="004742BD">
        <w:rPr>
          <w:rFonts w:eastAsia="Arial"/>
          <w:shd w:val="clear" w:color="FDFDFD" w:fill="FDFDFD"/>
          <w:vertAlign w:val="subscript"/>
        </w:rPr>
        <w:t>2</w:t>
      </w:r>
      <w:r w:rsidRPr="004742BD">
        <w:rPr>
          <w:rFonts w:eastAsia="Arial"/>
          <w:shd w:val="clear" w:color="FDFDFD" w:fill="FDFDFD"/>
        </w:rPr>
        <w:t xml:space="preserve">O was </w:t>
      </w:r>
      <w:r>
        <w:rPr>
          <w:rFonts w:eastAsia="Arial"/>
          <w:shd w:val="clear" w:color="FDFDFD" w:fill="FDFDFD"/>
        </w:rPr>
        <w:t>confirmed</w:t>
      </w:r>
      <w:r w:rsidRPr="004742BD">
        <w:rPr>
          <w:rFonts w:eastAsia="Arial"/>
          <w:shd w:val="clear" w:color="FDFDFD" w:fill="FDFDFD"/>
        </w:rPr>
        <w:t xml:space="preserve"> by the observation of a diffuse scattering</w:t>
      </w:r>
      <w:r>
        <w:rPr>
          <w:rFonts w:eastAsia="Arial"/>
          <w:shd w:val="clear" w:color="FDFDFD" w:fill="FDFDFD"/>
        </w:rPr>
        <w:t xml:space="preserve"> signal</w:t>
      </w:r>
      <w:r w:rsidRPr="004742BD">
        <w:rPr>
          <w:rFonts w:eastAsia="Arial"/>
          <w:shd w:val="clear" w:color="FDFDFD" w:fill="FDFDFD"/>
        </w:rPr>
        <w:t>.</w:t>
      </w:r>
      <w:r w:rsidRPr="00655E9F">
        <w:rPr>
          <w:rFonts w:eastAsia="Arial"/>
          <w:shd w:val="clear" w:color="FDFDFD" w:fill="FDFDFD"/>
        </w:rPr>
        <w:t xml:space="preserve"> </w:t>
      </w:r>
      <w:r>
        <w:rPr>
          <w:rFonts w:eastAsia="Arial"/>
          <w:shd w:val="clear" w:color="FDFDFD" w:fill="FDFDFD"/>
        </w:rPr>
        <w:t>T</w:t>
      </w:r>
      <w:r w:rsidRPr="004742BD">
        <w:rPr>
          <w:rFonts w:eastAsia="Arial"/>
          <w:shd w:val="clear" w:color="FDFDFD" w:fill="FDFDFD"/>
        </w:rPr>
        <w:t>he pressure</w:t>
      </w:r>
      <w:r>
        <w:rPr>
          <w:rFonts w:eastAsia="Arial"/>
          <w:shd w:val="clear" w:color="FDFDFD" w:fill="FDFDFD"/>
        </w:rPr>
        <w:t xml:space="preserve"> was</w:t>
      </w:r>
      <w:r w:rsidRPr="004742BD">
        <w:rPr>
          <w:rFonts w:eastAsia="Arial"/>
          <w:shd w:val="clear" w:color="FDFDFD" w:fill="FDFDFD"/>
        </w:rPr>
        <w:t xml:space="preserve"> estimated </w:t>
      </w:r>
      <w:r>
        <w:rPr>
          <w:rFonts w:eastAsia="Arial"/>
          <w:shd w:val="clear" w:color="FDFDFD" w:fill="FDFDFD"/>
        </w:rPr>
        <w:t>to be</w:t>
      </w:r>
      <w:r w:rsidRPr="004742BD">
        <w:rPr>
          <w:rFonts w:eastAsia="Arial"/>
          <w:shd w:val="clear" w:color="FDFDFD" w:fill="FDFDFD"/>
        </w:rPr>
        <w:t xml:space="preserve"> 0 </w:t>
      </w:r>
      <w:proofErr w:type="spellStart"/>
      <w:r w:rsidRPr="004742BD">
        <w:rPr>
          <w:rFonts w:eastAsia="Arial"/>
          <w:shd w:val="clear" w:color="FDFDFD" w:fill="FDFDFD"/>
        </w:rPr>
        <w:t>GPa</w:t>
      </w:r>
      <w:proofErr w:type="spellEnd"/>
      <w:r>
        <w:rPr>
          <w:rFonts w:eastAsia="Arial"/>
          <w:shd w:val="clear" w:color="FDFDFD" w:fill="FDFDFD"/>
        </w:rPr>
        <w:t xml:space="preserve"> based on the </w:t>
      </w:r>
      <w:proofErr w:type="spellStart"/>
      <w:r>
        <w:rPr>
          <w:rFonts w:eastAsia="Arial"/>
          <w:shd w:val="clear" w:color="FDFDFD" w:fill="FDFDFD"/>
        </w:rPr>
        <w:t>EoS</w:t>
      </w:r>
      <w:proofErr w:type="spellEnd"/>
      <w:r>
        <w:rPr>
          <w:rFonts w:eastAsia="Arial"/>
          <w:shd w:val="clear" w:color="FDFDFD" w:fill="FDFDFD"/>
        </w:rPr>
        <w:t xml:space="preserve"> of </w:t>
      </w:r>
      <w:proofErr w:type="spellStart"/>
      <w:r>
        <w:rPr>
          <w:rFonts w:eastAsia="Arial"/>
          <w:shd w:val="clear" w:color="FDFDFD" w:fill="FDFDFD"/>
        </w:rPr>
        <w:t>cBN</w:t>
      </w:r>
      <w:proofErr w:type="spellEnd"/>
      <w:r>
        <w:rPr>
          <w:rFonts w:eastAsia="Arial"/>
          <w:shd w:val="clear" w:color="FDFDFD" w:fill="FDFDFD"/>
        </w:rPr>
        <w:t xml:space="preserve"> </w:t>
      </w:r>
      <w:r w:rsidRPr="009E294B">
        <w:fldChar w:fldCharType="begin"/>
      </w:r>
      <w:r>
        <w:instrText xml:space="preserve"> ADDIN ZOTERO_ITEM CSL_CITATION {"citationID":"5bafYVoI","properties":{"formattedCitation":"(Goncharov {\\i{}et al.}, 2007)","plainCitation":"(Goncharov et al., 2007)","noteIndex":0},"citationItems":[{"id":53,"uris":["http://zotero.org/users/local/dwaXvkNj/items/66D2I9N5"],"uri":["http://zotero.org/users/local/dwaXvkNj/items/66D2I9N5"],"itemData":{"id":53,"type":"article-journal","title":"Thermal equation of state of cubic boron nitride: Implications for a high-temperature pressure scale","container-title":"Physical Review B","page":"224114","volume":"75","issue":"22","source":"APS","abstract":"The equation of state of cubic boron nitride (cBN) has been determined to a maximum temperature of 3300K at a simultaneous static pressure of up to more than 70GPa. Ab initio calculations to 80GPa and 2000K have also been performed. Our experimental data can be reconciled with theoretical results and with the known thermal expansion at 1bar if we assume a small increase in pressure during heating relative to that measured at ambient temperature. The present data combined with the Raman measurements we presented earlier form the basis of a high-temperature pressure scale that is good to at least 3300K.","DOI":"10.1103/PhysRevB.75.224114","shortTitle":"Thermal equation of state of cubic boron nitride","journalAbbreviation":"Phys. Rev. B","author":[{"family":"Goncharov","given":"Alexander F."},{"family":"Crowhurst","given":"Jonathan C."},{"family":"Dewhurst","given":"John K."},{"family":"Sharma","given":"Sangeeta"},{"family":"Sanloup","given":"Chrystele"},{"family":"Gregoryanz","given":"Eugene"},{"family":"Guignot","given":"Nicolas"},{"family":"Mezouar","given":"Mohamed"}],"issued":{"date-parts":[["2007",6,21]]}}}],"schema":"https://github.com/citation-style-language/schema/raw/master/csl-citation.json"} </w:instrText>
      </w:r>
      <w:r w:rsidRPr="009E294B">
        <w:fldChar w:fldCharType="separate"/>
      </w:r>
      <w:r w:rsidRPr="00BE653C">
        <w:t xml:space="preserve">(Goncharov </w:t>
      </w:r>
      <w:r w:rsidRPr="00BE653C">
        <w:rPr>
          <w:i/>
          <w:iCs/>
        </w:rPr>
        <w:t>et al.</w:t>
      </w:r>
      <w:r w:rsidRPr="00BE653C">
        <w:t>, 2007)</w:t>
      </w:r>
      <w:r w:rsidRPr="009E294B">
        <w:fldChar w:fldCharType="end"/>
      </w:r>
      <w:r>
        <w:rPr>
          <w:rFonts w:eastAsia="Arial"/>
          <w:shd w:val="clear" w:color="FDFDFD" w:fill="FDFDFD"/>
        </w:rPr>
        <w:t xml:space="preserve">, which was slightly lower than the pressure of 0.27 </w:t>
      </w:r>
      <w:proofErr w:type="spellStart"/>
      <w:r>
        <w:rPr>
          <w:rFonts w:eastAsia="Arial"/>
          <w:shd w:val="clear" w:color="FDFDFD" w:fill="FDFDFD"/>
        </w:rPr>
        <w:t>GPa</w:t>
      </w:r>
      <w:proofErr w:type="spellEnd"/>
      <w:r>
        <w:rPr>
          <w:rFonts w:eastAsia="Arial"/>
          <w:shd w:val="clear" w:color="FDFDFD" w:fill="FDFDFD"/>
        </w:rPr>
        <w:t xml:space="preserve"> estimated from the ruby.</w:t>
      </w:r>
    </w:p>
    <w:p w14:paraId="2B82C7C7" w14:textId="77777777" w:rsidR="00A20AFF" w:rsidRPr="004742BD" w:rsidRDefault="00A20AFF" w:rsidP="00A20AFF">
      <w:pPr>
        <w:pStyle w:val="IUCrbodytext"/>
      </w:pPr>
      <w:r w:rsidRPr="004742BD">
        <w:rPr>
          <w:rFonts w:eastAsia="Arial"/>
          <w:shd w:val="clear" w:color="FDFDFD" w:fill="FDFDFD"/>
        </w:rPr>
        <w:t>X-ray heating of H</w:t>
      </w:r>
      <w:r w:rsidRPr="004742BD">
        <w:rPr>
          <w:rFonts w:eastAsia="Arial"/>
          <w:shd w:val="clear" w:color="FDFDFD" w:fill="FDFDFD"/>
          <w:vertAlign w:val="subscript"/>
        </w:rPr>
        <w:t>2</w:t>
      </w:r>
      <w:r w:rsidRPr="004742BD">
        <w:rPr>
          <w:rFonts w:eastAsia="Arial"/>
          <w:shd w:val="clear" w:color="FDFDFD" w:fill="FDFDFD"/>
        </w:rPr>
        <w:t xml:space="preserve">O is a relatively minor issue because of its low </w:t>
      </w:r>
      <w:r>
        <w:rPr>
          <w:rFonts w:eastAsia="Arial"/>
          <w:shd w:val="clear" w:color="FDFDFD" w:fill="FDFDFD"/>
        </w:rPr>
        <w:t>X</w:t>
      </w:r>
      <w:r w:rsidRPr="004742BD">
        <w:rPr>
          <w:rFonts w:eastAsia="Arial"/>
          <w:shd w:val="clear" w:color="FDFDFD" w:fill="FDFDFD"/>
        </w:rPr>
        <w:t>-ray absorption at 18</w:t>
      </w:r>
      <w:r>
        <w:rPr>
          <w:rFonts w:eastAsia="Arial"/>
          <w:shd w:val="clear" w:color="FDFDFD" w:fill="FDFDFD"/>
        </w:rPr>
        <w:t>.105</w:t>
      </w:r>
      <w:r w:rsidRPr="004742BD">
        <w:rPr>
          <w:rFonts w:eastAsia="Arial"/>
          <w:shd w:val="clear" w:color="FDFDFD" w:fill="FDFDFD"/>
        </w:rPr>
        <w:t xml:space="preserve"> keV (</w:t>
      </w:r>
      <w:r>
        <w:rPr>
          <w:rFonts w:eastAsia="Arial"/>
          <w:shd w:val="clear" w:color="FDFDFD" w:fill="FDFDFD"/>
        </w:rPr>
        <w:t xml:space="preserve">λ </w:t>
      </w:r>
      <w:r w:rsidRPr="004742BD">
        <w:rPr>
          <w:rFonts w:eastAsia="Arial"/>
          <w:shd w:val="clear" w:color="FDFDFD" w:fill="FDFDFD"/>
        </w:rPr>
        <w:t>=</w:t>
      </w:r>
      <w:r>
        <w:rPr>
          <w:rFonts w:eastAsia="Arial"/>
          <w:shd w:val="clear" w:color="FDFDFD" w:fill="FDFDFD"/>
        </w:rPr>
        <w:t> 7383</w:t>
      </w:r>
      <w:r w:rsidRPr="004742BD">
        <w:rPr>
          <w:rFonts w:eastAsia="Arial"/>
          <w:shd w:val="clear" w:color="FDFDFD" w:fill="FDFDFD"/>
        </w:rPr>
        <w:t xml:space="preserve"> µm at </w:t>
      </w:r>
      <w:r w:rsidRPr="004742BD">
        <w:rPr>
          <w:rFonts w:eastAsia="Arial"/>
        </w:rPr>
        <w:t xml:space="preserve">1 </w:t>
      </w:r>
      <w:proofErr w:type="spellStart"/>
      <w:r w:rsidRPr="004742BD">
        <w:rPr>
          <w:rFonts w:eastAsia="Arial"/>
        </w:rPr>
        <w:t>GPa</w:t>
      </w:r>
      <w:proofErr w:type="spellEnd"/>
      <w:r w:rsidRPr="004742BD">
        <w:rPr>
          <w:rFonts w:eastAsia="Arial"/>
        </w:rPr>
        <w:t xml:space="preserve"> </w:t>
      </w:r>
      <w:r w:rsidRPr="009E294B">
        <w:rPr>
          <w:rFonts w:eastAsia="Arial"/>
        </w:rPr>
        <w:fldChar w:fldCharType="begin"/>
      </w:r>
      <w:r>
        <w:rPr>
          <w:rFonts w:eastAsia="Arial"/>
        </w:rPr>
        <w:instrText xml:space="preserve"> ADDIN ZOTERO_ITEM CSL_CITATION {"citationID":"QZSdco0L","properties":{"formattedCitation":"(Henke {\\i{}et al.}, 1993)","plainCitation":"(Henke et al., 1993)","noteIndex":0},"citationItems":[{"id":42,"uris":["http://zotero.org/users/local/dwaXvkNj/items/SBSD5Y24"],"uri":["http://zotero.org/users/local/dwaXvkNj/items/SBSD5Y24"],"itemData":{"id":42,"type":"article-journal","title":"X-Ray Interactions: Photoabsorption, Scattering, Transmission, and Reflection at E = 50-30,000 eV, Z = 1-92","container-title":"Atomic Data and Nuclear Data Tables","page":"181-342","volume":"54","issue":"2","source":"ScienceDirect","abstract":"The primary interactions of low-energy x-rays within condensed matter, viz. photoabsorption and coherent scattering, have been described for photon energies outside the absorption threshold regions by using atomic scattering factors. The atomic scattering factors may be accurately determined from the atomic photoabsorption cross sections using modified Kramers-Kronig dispersion relations. From a synthesis of the currently available experimental data and recent theoretical calculations for photoabsorption, the angle-independent, forward-scattering components of the atomic scattering factors have been thus semiempirically determined and tabulated here for 92 elements and for the region 50-30,000 eV. Atomic scattering factors for all angles of coherent scattering and at the higher photon energies are obtained from these tabulated forward-scattering values by adding a simple angle-dependent form-factor correction. The incoherent scattering contributions that become significant for the light elements at the higher photon energies are similarly determined. The basic x-ray interaction relations that are used in applied x-ray physics are presented here in terms of the atomic scattering factors. The bulk optical constants are also related to the atomic scattering factors. These atomic and optical relations are applied to the detailed calculation of the reflectivity characteristics of a series of practical x-ray mirror, multilayer, and crystal monochromators. Comparisons of the results of this semiempirical, \"atomic-like\" description of x-ray interactions for the low-energy region with those of experiment and ab initio theory are presented.","DOI":"10.1006/adnd.1993.1013","ISSN":"0092-640X","shortTitle":"X-Ray Interactions","journalAbbreviation":"Atomic Data and Nuclear Data Tables","language":"en","author":[{"family":"Henke","given":"B. L."},{"family":"Gullikson","given":"E. M."},{"family":"Davis","given":"J. C."}],"issued":{"date-parts":[["1993",7,1]]}}}],"schema":"https://github.com/citation-style-language/schema/raw/master/csl-citation.json"} </w:instrText>
      </w:r>
      <w:r w:rsidRPr="009E294B">
        <w:rPr>
          <w:rFonts w:eastAsia="Arial"/>
        </w:rPr>
        <w:fldChar w:fldCharType="separate"/>
      </w:r>
      <w:r w:rsidRPr="00E66957">
        <w:t xml:space="preserve">(Henke </w:t>
      </w:r>
      <w:r w:rsidRPr="00E66957">
        <w:rPr>
          <w:i/>
          <w:iCs/>
        </w:rPr>
        <w:t>et al.</w:t>
      </w:r>
      <w:r w:rsidRPr="00E66957">
        <w:t>, 1993)</w:t>
      </w:r>
      <w:r w:rsidRPr="009E294B">
        <w:rPr>
          <w:rFonts w:eastAsia="Arial"/>
        </w:rPr>
        <w:fldChar w:fldCharType="end"/>
      </w:r>
      <w:r w:rsidRPr="004742BD">
        <w:rPr>
          <w:rFonts w:eastAsia="Arial"/>
        </w:rPr>
        <w:t xml:space="preserve">), allowing </w:t>
      </w:r>
      <w:r>
        <w:rPr>
          <w:rFonts w:eastAsia="Arial"/>
        </w:rPr>
        <w:t xml:space="preserve">for </w:t>
      </w:r>
      <w:r w:rsidRPr="004742BD">
        <w:rPr>
          <w:rFonts w:eastAsia="Arial"/>
        </w:rPr>
        <w:t xml:space="preserve">data to be collected with a relatively high X-ray fluence. No ice reflections were observed in the series of 216 </w:t>
      </w:r>
      <w:r w:rsidRPr="004742BD">
        <w:t xml:space="preserve">diffraction images collected at 25% </w:t>
      </w:r>
      <w:r>
        <w:t xml:space="preserve">X-ray </w:t>
      </w:r>
      <w:r w:rsidRPr="004742BD">
        <w:t>transmission (60</w:t>
      </w:r>
      <w:r>
        <w:t xml:space="preserve"> </w:t>
      </w:r>
      <w:r>
        <w:rPr>
          <w:szCs w:val="20"/>
        </w:rPr>
        <w:t xml:space="preserve">± </w:t>
      </w:r>
      <w:r w:rsidRPr="004742BD">
        <w:t xml:space="preserve">20 µJ) prior to compression, suggesting that the sample was still in the liquid phase. </w:t>
      </w:r>
      <w:r>
        <w:t xml:space="preserve">This was confirmed by the observation of a weak diffuse scattering signal from liquid in the integrated diffraction patterns. </w:t>
      </w:r>
      <w:r w:rsidRPr="004742BD">
        <w:t>Heating</w:t>
      </w:r>
      <w:r>
        <w:t xml:space="preserve"> of H</w:t>
      </w:r>
      <w:r w:rsidRPr="007C0899">
        <w:rPr>
          <w:vertAlign w:val="subscript"/>
        </w:rPr>
        <w:t>2</w:t>
      </w:r>
      <w:r>
        <w:t>O</w:t>
      </w:r>
      <w:r w:rsidRPr="004742BD">
        <w:t xml:space="preserve"> could not be a</w:t>
      </w:r>
      <w:r>
        <w:t>ss</w:t>
      </w:r>
      <w:r w:rsidRPr="004742BD">
        <w:t>essed due to the absence of ice reflections. A pressure of 1.3</w:t>
      </w:r>
      <w:r>
        <w:t> </w:t>
      </w:r>
      <w:proofErr w:type="spellStart"/>
      <w:r w:rsidRPr="004742BD">
        <w:t>GPa</w:t>
      </w:r>
      <w:proofErr w:type="spellEnd"/>
      <w:r w:rsidRPr="004742BD">
        <w:t xml:space="preserve"> was determined from </w:t>
      </w:r>
      <w:proofErr w:type="spellStart"/>
      <w:r w:rsidRPr="004742BD">
        <w:t>cBN</w:t>
      </w:r>
      <w:proofErr w:type="spellEnd"/>
      <w:r w:rsidRPr="004742BD">
        <w:t xml:space="preserve"> </w:t>
      </w:r>
      <w:r w:rsidRPr="009E294B">
        <w:fldChar w:fldCharType="begin"/>
      </w:r>
      <w:r>
        <w:instrText xml:space="preserve"> ADDIN ZOTERO_ITEM CSL_CITATION {"citationID":"b8rPGBQn","properties":{"formattedCitation":"(Goncharov {\\i{}et al.}, 2007)","plainCitation":"(Goncharov et al., 2007)","noteIndex":0},"citationItems":[{"id":53,"uris":["http://zotero.org/users/local/dwaXvkNj/items/66D2I9N5"],"uri":["http://zotero.org/users/local/dwaXvkNj/items/66D2I9N5"],"itemData":{"id":53,"type":"article-journal","title":"Thermal equation of state of cubic boron nitride: Implications for a high-temperature pressure scale","container-title":"Physical Review B","page":"224114","volume":"75","issue":"22","source":"APS","abstract":"The equation of state of cubic boron nitride (cBN) has been determined to a maximum temperature of 3300K at a simultaneous static pressure of up to more than 70GPa. Ab initio calculations to 80GPa and 2000K have also been performed. Our experimental data can be reconciled with theoretical results and with the known thermal expansion at 1bar if we assume a small increase in pressure during heating relative to that measured at ambient temperature. The present data combined with the Raman measurements we presented earlier form the basis of a high-temperature pressure scale that is good to at least 3300K.","DOI":"10.1103/PhysRevB.75.224114","shortTitle":"Thermal equation of state of cubic boron nitride","journalAbbreviation":"Phys. Rev. B","author":[{"family":"Goncharov","given":"Alexander F."},{"family":"Crowhurst","given":"Jonathan C."},{"family":"Dewhurst","given":"John K."},{"family":"Sharma","given":"Sangeeta"},{"family":"Sanloup","given":"Chrystele"},{"family":"Gregoryanz","given":"Eugene"},{"family":"Guignot","given":"Nicolas"},{"family":"Mezouar","given":"Mohamed"}],"issued":{"date-parts":[["2007",6,21]]}}}],"schema":"https://github.com/citation-style-language/schema/raw/master/csl-citation.json"} </w:instrText>
      </w:r>
      <w:r w:rsidRPr="009E294B">
        <w:fldChar w:fldCharType="separate"/>
      </w:r>
      <w:r w:rsidRPr="00BE653C">
        <w:t xml:space="preserve">(Goncharov </w:t>
      </w:r>
      <w:r w:rsidRPr="00BE653C">
        <w:rPr>
          <w:i/>
          <w:iCs/>
        </w:rPr>
        <w:t>et al.</w:t>
      </w:r>
      <w:r w:rsidRPr="00BE653C">
        <w:t>, 2007)</w:t>
      </w:r>
      <w:r w:rsidRPr="009E294B">
        <w:fldChar w:fldCharType="end"/>
      </w:r>
      <w:r w:rsidRPr="004742BD">
        <w:t>, which is above the H</w:t>
      </w:r>
      <w:r w:rsidRPr="004742BD">
        <w:rPr>
          <w:vertAlign w:val="subscript"/>
        </w:rPr>
        <w:t>2</w:t>
      </w:r>
      <w:r w:rsidRPr="004742BD">
        <w:t>O solidification pressure.</w:t>
      </w:r>
      <w:r w:rsidRPr="004742BD">
        <w:rPr>
          <w:rFonts w:eastAsia="Arial"/>
        </w:rPr>
        <w:t xml:space="preserve"> However, this could be related to the high bulk modulus of </w:t>
      </w:r>
      <w:proofErr w:type="spellStart"/>
      <w:r w:rsidRPr="004742BD">
        <w:rPr>
          <w:rFonts w:eastAsia="Arial"/>
        </w:rPr>
        <w:t>cBN</w:t>
      </w:r>
      <w:proofErr w:type="spellEnd"/>
      <w:r w:rsidRPr="004742BD">
        <w:rPr>
          <w:rFonts w:eastAsia="Arial"/>
        </w:rPr>
        <w:t>, which makes it insensitive to small pressure changes.</w:t>
      </w:r>
    </w:p>
    <w:p w14:paraId="5336D783" w14:textId="76698D77" w:rsidR="00A20AFF" w:rsidRDefault="00A20AFF" w:rsidP="00A20AFF">
      <w:pPr>
        <w:pStyle w:val="IUCrbodytext"/>
        <w:rPr>
          <w:rFonts w:eastAsia="Arial"/>
          <w:szCs w:val="22"/>
          <w:shd w:val="clear" w:color="FDFDFD" w:fill="FDFDFD"/>
        </w:rPr>
      </w:pPr>
      <w:r w:rsidRPr="004742BD">
        <w:rPr>
          <w:rFonts w:eastAsia="Arial"/>
        </w:rPr>
        <w:t xml:space="preserve">The sample was compressed using an 840 </w:t>
      </w:r>
      <w:proofErr w:type="spellStart"/>
      <w:r w:rsidRPr="006D40F8">
        <w:rPr>
          <w:rFonts w:eastAsia="Arial"/>
        </w:rPr>
        <w:t>μ</w:t>
      </w:r>
      <w:r w:rsidRPr="004742BD">
        <w:rPr>
          <w:rFonts w:eastAsia="Arial"/>
        </w:rPr>
        <w:t>s</w:t>
      </w:r>
      <w:proofErr w:type="spellEnd"/>
      <w:r w:rsidRPr="004742BD">
        <w:rPr>
          <w:rFonts w:eastAsia="Arial"/>
        </w:rPr>
        <w:t xml:space="preserve"> rise time up to</w:t>
      </w:r>
      <w:r w:rsidR="007739F7">
        <w:rPr>
          <w:rFonts w:eastAsia="Arial"/>
        </w:rPr>
        <w:t xml:space="preserve"> </w:t>
      </w:r>
      <w:r w:rsidRPr="004742BD">
        <w:rPr>
          <w:rFonts w:eastAsia="Arial"/>
        </w:rPr>
        <w:t>700 V, and XRD data were collected 440 </w:t>
      </w:r>
      <w:proofErr w:type="spellStart"/>
      <w:r w:rsidRPr="006D40F8">
        <w:rPr>
          <w:rFonts w:eastAsia="Arial"/>
        </w:rPr>
        <w:t>μ</w:t>
      </w:r>
      <w:r w:rsidRPr="004742BD">
        <w:rPr>
          <w:rFonts w:eastAsia="Arial"/>
        </w:rPr>
        <w:t>s</w:t>
      </w:r>
      <w:proofErr w:type="spellEnd"/>
      <w:r w:rsidRPr="004742BD">
        <w:rPr>
          <w:rFonts w:eastAsia="Arial"/>
        </w:rPr>
        <w:t xml:space="preserve"> after the start of the voltage waveform using 25% </w:t>
      </w:r>
      <w:r>
        <w:rPr>
          <w:rFonts w:eastAsia="Arial"/>
        </w:rPr>
        <w:t xml:space="preserve">X-ray </w:t>
      </w:r>
      <w:r w:rsidRPr="004742BD">
        <w:rPr>
          <w:rFonts w:eastAsia="Arial"/>
        </w:rPr>
        <w:t>transmission</w:t>
      </w:r>
      <w:r>
        <w:rPr>
          <w:rFonts w:eastAsia="Arial"/>
        </w:rPr>
        <w:t xml:space="preserve"> (</w:t>
      </w:r>
      <w:r>
        <w:rPr>
          <w:szCs w:val="20"/>
        </w:rPr>
        <w:t>60 ± 20 µJ)</w:t>
      </w:r>
      <w:r w:rsidRPr="004742BD">
        <w:rPr>
          <w:rFonts w:eastAsia="Arial"/>
        </w:rPr>
        <w:t xml:space="preserve"> (Fig. </w:t>
      </w:r>
      <w:r>
        <w:rPr>
          <w:rFonts w:eastAsia="Arial"/>
        </w:rPr>
        <w:t>9</w:t>
      </w:r>
      <w:r w:rsidRPr="004742BD">
        <w:rPr>
          <w:rFonts w:eastAsia="Arial"/>
        </w:rPr>
        <w:t>). No ice reflections were observed during the first 125 µs of data collection, suggesting that H</w:t>
      </w:r>
      <w:r w:rsidRPr="004742BD">
        <w:rPr>
          <w:rFonts w:eastAsia="Arial"/>
          <w:vertAlign w:val="subscript"/>
        </w:rPr>
        <w:t>2</w:t>
      </w:r>
      <w:r w:rsidRPr="004742BD">
        <w:rPr>
          <w:rFonts w:eastAsia="Arial"/>
        </w:rPr>
        <w:t xml:space="preserve">O was still </w:t>
      </w:r>
      <w:r>
        <w:rPr>
          <w:rFonts w:eastAsia="Arial"/>
        </w:rPr>
        <w:t xml:space="preserve">in the </w:t>
      </w:r>
      <w:r w:rsidRPr="004742BD">
        <w:rPr>
          <w:rFonts w:eastAsia="Arial"/>
        </w:rPr>
        <w:t>liquid</w:t>
      </w:r>
      <w:r>
        <w:rPr>
          <w:rFonts w:eastAsia="Arial"/>
        </w:rPr>
        <w:t xml:space="preserve"> phase</w:t>
      </w:r>
      <w:r w:rsidRPr="004742BD">
        <w:rPr>
          <w:rFonts w:eastAsia="Arial"/>
        </w:rPr>
        <w:t xml:space="preserve">. </w:t>
      </w:r>
      <w:r w:rsidRPr="004742BD">
        <w:t>No evidence of ice VI was observed during compression; instead, the sample transformed directly from liquid to ice-VII</w:t>
      </w:r>
      <w:r>
        <w:t>. Accurate determination of the</w:t>
      </w:r>
      <w:r w:rsidRPr="004742BD">
        <w:t xml:space="preserve"> pressure from </w:t>
      </w:r>
      <w:proofErr w:type="spellStart"/>
      <w:r w:rsidRPr="004742BD">
        <w:t>cBN</w:t>
      </w:r>
      <w:proofErr w:type="spellEnd"/>
      <w:r w:rsidRPr="004742BD">
        <w:t xml:space="preserve"> </w:t>
      </w:r>
      <w:r>
        <w:t xml:space="preserve">was prevented </w:t>
      </w:r>
      <w:r w:rsidRPr="004742BD">
        <w:t>due to its partial overlap with the gasket peak</w:t>
      </w:r>
      <w:r>
        <w:t>s (Fig. 9 (b))</w:t>
      </w:r>
      <w:r w:rsidRPr="004742BD">
        <w:t>. However, ice-VII indicated a crystallization pressure of 2.1 </w:t>
      </w:r>
      <w:proofErr w:type="spellStart"/>
      <w:r w:rsidRPr="004742BD">
        <w:t>GPa</w:t>
      </w:r>
      <w:proofErr w:type="spellEnd"/>
      <w:r w:rsidRPr="004742BD">
        <w:t xml:space="preserve"> </w:t>
      </w:r>
      <w:r w:rsidRPr="006D40F8">
        <w:fldChar w:fldCharType="begin"/>
      </w:r>
      <w:r w:rsidR="006722F5">
        <w:instrText xml:space="preserve"> ADDIN ZOTERO_ITEM CSL_CITATION {"citationID":"EGRTKDHR","properties":{"formattedCitation":"(Klotz {\\i{}et al.}, 2017)","plainCitation":"(Klotz et al., 2017)","noteIndex":0},"citationItems":[{"id":"k3ssTldU/BKnjfNqI","uris":["http://zotero.org/users/local/uJBp8IoE/items/R9GLL6SA"],"uri":["http://zotero.org/users/local/uJBp8IoE/items/R9GLL6SA"],"itemData":{"id":237,"type":"article-journal","abstract":"The compression behavior of deuterated ice VII and VIII was investigated by high pressure neutron scattering in the pressure range 2–13.7 GPa between 93 and 300 K. We establish equations of state which contain accurate values for the bulk moduli B0, their pressure derivatives B′0, as well as the ambient pressure volume V0. These equations of state hold over a large part of the stability domain of ice VII, by comparison with available x-ray data, and to at least ≈13 GPa for ice VIII. They are indistinguishable at low pressures, but beyond ≈7 GPa and at low temperatures ice VIII appears to become stiffer than expected. This might be related to an anomalous phonon hardening observed previously in ice VIII in this P/T range [D. D. Klug et al., Phys. Rev. B 70, 144113 (2004)].","container-title":"Physical Review B","DOI":"10.1103/PhysRevB.95.174111","issue":"17","journalAbbreviation":"Phys. Rev. B","note":"publisher: American Physical Society","page":"174111","source":"APS","title":"Bulk moduli and equations of state of ice VII and ice VIII","volume":"95","author":[{"family":"Klotz","given":"S."},{"family":"Komatsu","given":"K."},{"family":"Kagi","given":"H."},{"family":"Kunc","given":"K."},{"family":"Sano-Furukawa","given":"A."},{"family":"Machida","given":"S."},{"family":"Hattori","given":"T."}],"issued":{"date-parts":[["2017",5,30]]}}}],"schema":"https://github.com/citation-style-language/schema/raw/master/csl-citation.json"} </w:instrText>
      </w:r>
      <w:r w:rsidRPr="006D40F8">
        <w:fldChar w:fldCharType="separate"/>
      </w:r>
      <w:r w:rsidRPr="000266C4">
        <w:t xml:space="preserve">(Klotz </w:t>
      </w:r>
      <w:r w:rsidRPr="000266C4">
        <w:rPr>
          <w:i/>
          <w:iCs/>
        </w:rPr>
        <w:t>et al.</w:t>
      </w:r>
      <w:r w:rsidRPr="000266C4">
        <w:t>, 2017)</w:t>
      </w:r>
      <w:r w:rsidRPr="006D40F8">
        <w:fldChar w:fldCharType="end"/>
      </w:r>
      <w:r w:rsidRPr="004742BD">
        <w:t xml:space="preserve">, which is identical to the ice-VI/ice-VII equilibrium </w:t>
      </w:r>
      <w:r>
        <w:t>transition</w:t>
      </w:r>
      <w:r w:rsidRPr="004742BD">
        <w:t xml:space="preserve"> pressure at ambient temperature. The pressure remained approximately constant for ~20 µs after the first observation of ice-VII (Fig. </w:t>
      </w:r>
      <w:r>
        <w:t>9</w:t>
      </w:r>
      <w:r w:rsidRPr="004742BD">
        <w:t xml:space="preserve"> (</w:t>
      </w:r>
      <w:r>
        <w:t>c</w:t>
      </w:r>
      <w:r w:rsidRPr="004742BD">
        <w:t xml:space="preserve">)), which is most likely related to the volume </w:t>
      </w:r>
      <w:r w:rsidRPr="004742BD">
        <w:lastRenderedPageBreak/>
        <w:t>drop associated</w:t>
      </w:r>
      <w:r>
        <w:t xml:space="preserve"> with</w:t>
      </w:r>
      <w:r w:rsidRPr="004742BD">
        <w:t xml:space="preserve"> the liquid/ice-VII transition and the time taken for the entire sample to transform. This is supported by the simultaneous increase in the </w:t>
      </w:r>
      <w:r>
        <w:t>integrated</w:t>
      </w:r>
      <w:r w:rsidRPr="004742BD">
        <w:t xml:space="preserve"> intensity of the (110) ice-VII reflection (Fig. </w:t>
      </w:r>
      <w:r>
        <w:t>9</w:t>
      </w:r>
      <w:r w:rsidRPr="004742BD">
        <w:t xml:space="preserve"> (</w:t>
      </w:r>
      <w:r>
        <w:t>d</w:t>
      </w:r>
      <w:r w:rsidRPr="004742BD">
        <w:t>)).</w:t>
      </w:r>
      <w:r>
        <w:t xml:space="preserve"> A linear pressure increase was observed after the pressure plateau, which corresponds to a compression rate of 8.1 </w:t>
      </w:r>
      <w:proofErr w:type="spellStart"/>
      <w:r>
        <w:t>TPa</w:t>
      </w:r>
      <w:proofErr w:type="spellEnd"/>
      <w:r>
        <w:t xml:space="preserve">/s and a strain rate </w:t>
      </w:r>
      <w:r>
        <w:rPr>
          <w:rFonts w:eastAsiaTheme="minorEastAsia"/>
        </w:rPr>
        <w:t xml:space="preserve">of </w:t>
      </w:r>
      <m:oMath>
        <m:acc>
          <m:accPr>
            <m:chr m:val="̇"/>
            <m:ctrlPr>
              <w:rPr>
                <w:rFonts w:ascii="Cambria Math" w:eastAsia="Arial" w:hAnsi="Cambria Math"/>
                <w:i/>
                <w:szCs w:val="22"/>
                <w:shd w:val="clear" w:color="FDFDFD" w:fill="FDFDFD"/>
              </w:rPr>
            </m:ctrlPr>
          </m:accPr>
          <m:e>
            <m:r>
              <w:rPr>
                <w:rFonts w:ascii="Cambria Math" w:eastAsia="Arial" w:hAnsi="Cambria Math"/>
                <w:szCs w:val="22"/>
                <w:shd w:val="clear" w:color="FDFDFD" w:fill="FDFDFD"/>
              </w:rPr>
              <m:t>ε</m:t>
            </m:r>
          </m:e>
        </m:acc>
      </m:oMath>
      <w:r>
        <w:rPr>
          <w:rFonts w:eastAsia="Arial"/>
          <w:szCs w:val="22"/>
          <w:shd w:val="clear" w:color="FDFDFD" w:fill="FDFDFD"/>
        </w:rPr>
        <w:t> = 350 s</w:t>
      </w:r>
      <w:r w:rsidRPr="008A3042">
        <w:rPr>
          <w:rFonts w:eastAsia="Arial"/>
          <w:szCs w:val="22"/>
          <w:shd w:val="clear" w:color="FDFDFD" w:fill="FDFDFD"/>
          <w:vertAlign w:val="superscript"/>
        </w:rPr>
        <w:t>-1</w:t>
      </w:r>
      <w:r>
        <w:rPr>
          <w:rFonts w:eastAsia="Arial"/>
          <w:szCs w:val="22"/>
          <w:shd w:val="clear" w:color="FDFDFD" w:fill="FDFDFD"/>
        </w:rPr>
        <w:t xml:space="preserve"> in ice VII. </w:t>
      </w:r>
    </w:p>
    <w:p w14:paraId="79F6A719" w14:textId="2E372537" w:rsidR="00A20AFF" w:rsidRPr="009B176E" w:rsidRDefault="00A20AFF" w:rsidP="00A20AFF">
      <w:pPr>
        <w:pStyle w:val="IUCrbodytext"/>
      </w:pPr>
      <w:r>
        <w:t xml:space="preserve">Our observation of the crystallization of ice VII directly from super-compressed water is in good agreement with previous </w:t>
      </w:r>
      <w:proofErr w:type="spellStart"/>
      <w:r>
        <w:t>dDAC</w:t>
      </w:r>
      <w:proofErr w:type="spellEnd"/>
      <w:r>
        <w:t xml:space="preserve"> studies which used Raman and visual observation as phase identification methods </w:t>
      </w:r>
      <w:r>
        <w:fldChar w:fldCharType="begin"/>
      </w:r>
      <w:r w:rsidR="006722F5">
        <w:instrText xml:space="preserve"> ADDIN ZOTERO_ITEM CSL_CITATION {"citationID":"rvMfejxJ","properties":{"formattedCitation":"(Lee {\\i{}et al.}, 2006; Chen &amp; Yoo, 2011)","plainCitation":"(Lee et al., 2006; Chen &amp; Yoo, 2011)","noteIndex":0},"citationItems":[{"id":"k3ssTldU/esBATAOW","uris":["http://zotero.org/users/local/uJBp8IoE/items/JSGLFW4X"],"uri":["http://zotero.org/users/local/uJBp8IoE/items/JSGLFW4X"],"itemData":{"id":"pCur8H7f/5jnbHu4c","type":"article-journal","abstract":"We report the observation of ice VII, directly crystallized from metastably supercompressed liquid water at pressure of up to 1.8GPa, well within the stability field of ice VI. This result is achieved by making time-resolved measurements of pressure-induced crystallization using a unique instrument, a dynamic diamond anvil cell (dDAC), which permits the measurement of pressure/time-dependent phase transformation pathways. We are able to evaluate the interfacial free energy, and find that the value for supercompressed water (SW)/ice VII is smaller than that of SW/ice VI, indicating that the local order of the SW is more similar to ice VII than ice VI. This result is consistent with recent studies, which suggest that the local order of high density water is bcc-like, as in ice VII.","container-title":"Physical Review B","DOI":"10.1103/PhysRevB.74.134112","issue":"13","journalAbbreviation":"Phys. Rev. B","note":"publisher: American Physical Society","page":"134112","source":"APS","title":"Crystallization of water in a dynamic diamond-anvil cell: Evidence for ice VII-like local order in supercompressed water","title-short":"Crystallization of water in a dynamic diamond-anvil cell","volume":"74","author":[{"family":"Lee","given":"Geun Woo"},{"family":"Evans","given":"William J."},{"family":"Yoo","given":"Choong-Shik"}],"issued":{"date-parts":[["2006",10,30]]}}},{"id":"k3ssTldU/64wF8cok","uris":["http://zotero.org/users/local/uJBp8IoE/items/KZFPY64X"],"uri":["http://zotero.org/users/local/uJBp8IoE/items/KZFPY64X"],"itemData":{"id":"pCur8H7f/HNdNjHrM","type":"article-journal","abstract":"The phase diagram of water is both unusual and complex, exhibiting a wide range of polymorphs including proton-ordered or disordered forms. In addition, a variety of stable and metastable forms are observed. The richness of H2O phases attests the versatility of hydrogen-bonded network structures that include kinetically stable amorphous ices. Information of the amorphous solids, however, is rarely available especially for the stability field and transformation dynamics—but all reported to exist below the crystallization temperature of approximately 150–170 K below 4–5 GPa. Here, we present the evidence of high density amorphous (HDA) ice formed well above the crystallization temperature at 1 GPa—well inside the so-called “no-man’s land.” It is formed from metastable ice VII in the stability field of ice VI under rapid compression using dynamic-diamond anvil cell (d-DAC) and results from structural similarities between HDA and ice VII. The formation follows an interfacial growth mechanism unlike the melting process. Nevertheless, the occurrence of HDA along the extrapolated melt line of ice VII resembles the ice Ih-to-HDA transition, indicating that structural instabilities of parent ice VII and Ih drive the pressure-induced amorphization.","container-title":"Proceedings of the National Academy of Sciences","DOI":"10.1073/pnas.1100752108","ISSN":"0027-8424, 1091-6490","issue":"19","journalAbbreviation":"PNAS","language":"en","note":"publisher: National Academy of Sciences\nsection: Physical Sciences\nPMID: 21518902","page":"7685-7688","source":"www.pnas.org","title":"High density amorphous ice at room temperature","volume":"108","author":[{"family":"Chen","given":"Jing-Yin"},{"family":"Yoo","given":"Choong-Shik"}],"issued":{"date-parts":[["2011",5,10]]}}}],"schema":"https://github.com/citation-style-language/schema/raw/master/csl-citation.json"} </w:instrText>
      </w:r>
      <w:r>
        <w:fldChar w:fldCharType="separate"/>
      </w:r>
      <w:r w:rsidRPr="009B176E">
        <w:t xml:space="preserve">(Lee </w:t>
      </w:r>
      <w:r w:rsidRPr="009B176E">
        <w:rPr>
          <w:i/>
          <w:iCs/>
        </w:rPr>
        <w:t>et al.</w:t>
      </w:r>
      <w:r w:rsidRPr="009B176E">
        <w:t>, 2006; Chen &amp; Yoo, 2011)</w:t>
      </w:r>
      <w:r>
        <w:fldChar w:fldCharType="end"/>
      </w:r>
      <w:r>
        <w:t xml:space="preserve">, and is the first time in which this has been detected using XRD. However, we note that a temperature </w:t>
      </w:r>
      <w:proofErr w:type="gramStart"/>
      <w:r>
        <w:t>increase</w:t>
      </w:r>
      <w:proofErr w:type="gramEnd"/>
      <w:r>
        <w:t xml:space="preserve"> of just ~50 K is sufficient to bypass the ice VI phase on compression (Fig. 4 (d)), which cannot be ruled out in this work. Further experiments are therefore required to decouple temperature- and rate-induced transition pathways in high pressure H</w:t>
      </w:r>
      <w:r w:rsidRPr="009B176E">
        <w:rPr>
          <w:vertAlign w:val="subscript"/>
        </w:rPr>
        <w:t>2</w:t>
      </w:r>
      <w:r>
        <w:t xml:space="preserve">O. </w:t>
      </w:r>
    </w:p>
    <w:p w14:paraId="06755ED3" w14:textId="1512CDFC" w:rsidR="00A20AFF" w:rsidRPr="009B176E" w:rsidRDefault="00875749" w:rsidP="00A20AFF">
      <w:pPr>
        <w:pStyle w:val="IUCrbodytext"/>
        <w:rPr>
          <w:rFonts w:eastAsia="Arial"/>
          <w:szCs w:val="22"/>
          <w:shd w:val="clear" w:color="FDFDFD" w:fill="FDFDFD"/>
        </w:rPr>
      </w:pPr>
      <w:r>
        <w:rPr>
          <w:rFonts w:eastAsia="Arial"/>
          <w:noProof/>
          <w:szCs w:val="22"/>
          <w:shd w:val="clear" w:color="FDFDFD" w:fill="FDFDFD"/>
        </w:rPr>
        <w:drawing>
          <wp:inline distT="0" distB="0" distL="0" distR="0" wp14:anchorId="0D74E6BC" wp14:editId="07365BD8">
            <wp:extent cx="5731510" cy="480949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809490"/>
                    </a:xfrm>
                    <a:prstGeom prst="rect">
                      <a:avLst/>
                    </a:prstGeom>
                  </pic:spPr>
                </pic:pic>
              </a:graphicData>
            </a:graphic>
          </wp:inline>
        </w:drawing>
      </w:r>
    </w:p>
    <w:p w14:paraId="5FC37820" w14:textId="77777777" w:rsidR="00A20AFF" w:rsidRPr="0072108A" w:rsidRDefault="00A20AFF" w:rsidP="00A20AFF">
      <w:pPr>
        <w:pStyle w:val="IUCrfigurecaption"/>
      </w:pPr>
      <w:r>
        <w:t>Dynamic compression of H</w:t>
      </w:r>
      <w:r>
        <w:rPr>
          <w:vertAlign w:val="subscript"/>
        </w:rPr>
        <w:t>2</w:t>
      </w:r>
      <w:r>
        <w:t xml:space="preserve">O. The panels show (a) integrated XRD data as a function of time, (b) selected integrated patterns showing the growth of the ice VII reflection during compression, (c) the lattice parameter and corresponding pressure of ice-VII and (d) the integrated intensity of the </w:t>
      </w:r>
      <w:r>
        <w:lastRenderedPageBreak/>
        <w:t xml:space="preserve">(110) ice-VII reflection as a function of time. In (c), the pressure is determined using the </w:t>
      </w:r>
      <w:proofErr w:type="spellStart"/>
      <w:r>
        <w:t>EoS</w:t>
      </w:r>
      <w:proofErr w:type="spellEnd"/>
      <w:r>
        <w:t xml:space="preserve"> of ice-VII </w:t>
      </w:r>
      <w:r w:rsidRPr="00E06C6F">
        <w:rPr>
          <w:szCs w:val="24"/>
        </w:rPr>
        <w:t xml:space="preserve">(Klotz </w:t>
      </w:r>
      <w:r w:rsidRPr="00E06C6F">
        <w:rPr>
          <w:i/>
          <w:iCs/>
          <w:szCs w:val="24"/>
        </w:rPr>
        <w:t>et al.</w:t>
      </w:r>
      <w:r w:rsidRPr="00E06C6F">
        <w:rPr>
          <w:szCs w:val="24"/>
        </w:rPr>
        <w:t>, 2017)</w:t>
      </w:r>
      <w:r>
        <w:t xml:space="preserve">. In (a) and (b), </w:t>
      </w:r>
      <w:r w:rsidRPr="006E1BD7">
        <w:rPr>
          <w:b/>
        </w:rPr>
        <w:t>G</w:t>
      </w:r>
      <w:r>
        <w:t xml:space="preserve"> indicates reflections from the gasket.</w:t>
      </w:r>
    </w:p>
    <w:p w14:paraId="68E45BA8" w14:textId="77777777" w:rsidR="00A20AFF" w:rsidRDefault="00A20AFF" w:rsidP="00A20AFF">
      <w:pPr>
        <w:pStyle w:val="IUCrheading1"/>
        <w:numPr>
          <w:ilvl w:val="0"/>
          <w:numId w:val="34"/>
        </w:numPr>
        <w:textAlignment w:val="auto"/>
      </w:pPr>
      <w:r>
        <w:t>Outlook</w:t>
      </w:r>
    </w:p>
    <w:p w14:paraId="1B9D3BC9" w14:textId="77777777" w:rsidR="00A20AFF" w:rsidRPr="004742BD" w:rsidRDefault="00A20AFF" w:rsidP="00A20AFF">
      <w:pPr>
        <w:pStyle w:val="IUCrbodytext"/>
      </w:pPr>
      <w:r w:rsidRPr="004742BD">
        <w:t xml:space="preserve">The </w:t>
      </w:r>
      <w:proofErr w:type="spellStart"/>
      <w:r w:rsidRPr="004742BD">
        <w:t>dDAC</w:t>
      </w:r>
      <w:proofErr w:type="spellEnd"/>
      <w:r w:rsidRPr="004742BD">
        <w:t xml:space="preserve"> platform at the HED instrument was successfully commissioned </w:t>
      </w:r>
      <w:r w:rsidRPr="004742BD">
        <w:rPr>
          <w:rFonts w:eastAsia="Arial"/>
        </w:rPr>
        <w:t>as part of DAC community proposal #2592 (</w:t>
      </w:r>
      <w:proofErr w:type="spellStart"/>
      <w:r w:rsidRPr="004742BD">
        <w:rPr>
          <w:rFonts w:eastAsia="Arial"/>
        </w:rPr>
        <w:t>Liermann</w:t>
      </w:r>
      <w:proofErr w:type="spellEnd"/>
      <w:r w:rsidRPr="004742BD">
        <w:rPr>
          <w:rFonts w:eastAsia="Arial"/>
        </w:rPr>
        <w:t xml:space="preserve"> and </w:t>
      </w:r>
      <w:proofErr w:type="spellStart"/>
      <w:r w:rsidRPr="004742BD">
        <w:rPr>
          <w:rFonts w:eastAsia="Arial"/>
        </w:rPr>
        <w:t>Jenei</w:t>
      </w:r>
      <w:proofErr w:type="spellEnd"/>
      <w:r w:rsidRPr="004742BD">
        <w:rPr>
          <w:rFonts w:eastAsia="Arial"/>
        </w:rPr>
        <w:t>), which demonstrated that this set-up can be used to collect</w:t>
      </w:r>
      <w:r w:rsidRPr="004742BD">
        <w:t xml:space="preserve"> time-resolved XRD data from a wide range of materials as they are dynamically-compressed using piezo-driven </w:t>
      </w:r>
      <w:proofErr w:type="spellStart"/>
      <w:r w:rsidRPr="004742BD">
        <w:t>dDACs</w:t>
      </w:r>
      <w:proofErr w:type="spellEnd"/>
      <w:r>
        <w:t xml:space="preserve">. The ability to collect XRD data at the intra-train repetition rate of the European XFEL (1.1 MHz) provided a temporal resolution of 888 ns, which corresponds to a pressure resolution of &lt;0.1 </w:t>
      </w:r>
      <w:proofErr w:type="spellStart"/>
      <w:r>
        <w:t>GPa</w:t>
      </w:r>
      <w:proofErr w:type="spellEnd"/>
      <w:r>
        <w:t xml:space="preserve">/frame at the compression rates accessed in this study (up to 87 </w:t>
      </w:r>
      <w:proofErr w:type="spellStart"/>
      <w:r>
        <w:t>TPa</w:t>
      </w:r>
      <w:proofErr w:type="spellEnd"/>
      <w:r>
        <w:t xml:space="preserve">/s). </w:t>
      </w:r>
      <w:r w:rsidRPr="004742BD">
        <w:t xml:space="preserve">This section describes future developments which will extend the capabilities of this set-up to a provide a more versatile platform. </w:t>
      </w:r>
    </w:p>
    <w:p w14:paraId="7A0B5C3E" w14:textId="77777777" w:rsidR="00A20AFF" w:rsidRDefault="00A20AFF" w:rsidP="00A20AFF">
      <w:pPr>
        <w:pStyle w:val="IUCrbodytext"/>
      </w:pPr>
      <w:r w:rsidRPr="004742BD">
        <w:t xml:space="preserve">Several upgrades are anticipated for the </w:t>
      </w:r>
      <w:proofErr w:type="spellStart"/>
      <w:r w:rsidRPr="004742BD">
        <w:t>dDAC</w:t>
      </w:r>
      <w:proofErr w:type="spellEnd"/>
      <w:r w:rsidRPr="004742BD">
        <w:t xml:space="preserve"> platform. A planned update of the high voltage amplifier will provide higher currents up to 20 A, </w:t>
      </w:r>
      <w:r>
        <w:t xml:space="preserve">leading to </w:t>
      </w:r>
      <w:r w:rsidRPr="004742BD">
        <w:t xml:space="preserve">shorter rise times and faster compression rates. This will be used in conjunction with the DESY </w:t>
      </w:r>
      <w:proofErr w:type="spellStart"/>
      <w:r w:rsidRPr="004742BD">
        <w:t>dDAC</w:t>
      </w:r>
      <w:proofErr w:type="spellEnd"/>
      <w:r w:rsidRPr="004742BD">
        <w:t xml:space="preserve">, which has a rise time longer than the maximum pulse train length in the current configuration. In addition, IC2 was designed </w:t>
      </w:r>
      <w:r>
        <w:t xml:space="preserve">to </w:t>
      </w:r>
      <w:r w:rsidRPr="004742BD">
        <w:t xml:space="preserve">accommodate a 1-megapixel (1M) AGIPD </w:t>
      </w:r>
      <w:r>
        <w:t xml:space="preserve">protruding </w:t>
      </w:r>
      <w:r w:rsidRPr="004742BD">
        <w:t>in</w:t>
      </w:r>
      <w:r>
        <w:t>to</w:t>
      </w:r>
      <w:r w:rsidRPr="004742BD">
        <w:t xml:space="preserve"> the vacuum chamber, which would significantly improve the Q-</w:t>
      </w:r>
      <w:r>
        <w:t>range and coverage</w:t>
      </w:r>
      <w:r w:rsidRPr="004742BD">
        <w:t xml:space="preserve"> due to the smaller SDD</w:t>
      </w:r>
      <w:r>
        <w:t xml:space="preserve"> and </w:t>
      </w:r>
      <w:r w:rsidRPr="004742BD">
        <w:t xml:space="preserve">increased detector area. Development is ongoing and implementation is planned for the near future. </w:t>
      </w:r>
    </w:p>
    <w:p w14:paraId="20DEA8A4" w14:textId="7BF64E61" w:rsidR="00A20AFF" w:rsidRPr="004742BD" w:rsidRDefault="00A20AFF" w:rsidP="00A20AFF">
      <w:pPr>
        <w:pStyle w:val="IUCrbodytext"/>
      </w:pPr>
      <w:r>
        <w:t>There is also an ongoing development program of a high</w:t>
      </w:r>
      <w:r w:rsidR="0020499E">
        <w:t>-</w:t>
      </w:r>
      <w:r>
        <w:t xml:space="preserve">Z version of the AGIPD 1M, which is designed for higher photon energies. </w:t>
      </w:r>
      <w:r w:rsidRPr="004742BD">
        <w:t xml:space="preserve">From the </w:t>
      </w:r>
      <w:r>
        <w:t>facility</w:t>
      </w:r>
      <w:r w:rsidRPr="004742BD">
        <w:t xml:space="preserve"> side, </w:t>
      </w:r>
      <w:r>
        <w:t xml:space="preserve">European XFEL is capable of providing </w:t>
      </w:r>
      <w:r w:rsidRPr="004742BD">
        <w:t xml:space="preserve">the HED instrument </w:t>
      </w:r>
      <w:r>
        <w:t>with</w:t>
      </w:r>
      <w:r w:rsidRPr="004742BD">
        <w:t xml:space="preserve"> photon energies up to 25 ke</w:t>
      </w:r>
      <w:r>
        <w:t>V</w:t>
      </w:r>
      <w:r w:rsidRPr="004742BD">
        <w:t xml:space="preserve">. Moving to higher photon energies offers two major advantages for </w:t>
      </w:r>
      <w:proofErr w:type="spellStart"/>
      <w:r w:rsidRPr="004742BD">
        <w:t>dDAC</w:t>
      </w:r>
      <w:proofErr w:type="spellEnd"/>
      <w:r w:rsidRPr="004742BD">
        <w:t xml:space="preserve"> experiments. First, X-ray heating is reduced because samples have a lower X-ray absorbance. Second, higher energies increase access to reciprocal space, which is fundamentally limited by photon energy due to the limited opening angle of the DAC. The combination of higher X-ray energies with larger detectors such as the AGIPD 1M has the potential to extend </w:t>
      </w:r>
      <w:proofErr w:type="spellStart"/>
      <w:r w:rsidRPr="004742BD">
        <w:t>dDAC</w:t>
      </w:r>
      <w:proofErr w:type="spellEnd"/>
      <w:r w:rsidRPr="004742BD">
        <w:t xml:space="preserve"> experiments to </w:t>
      </w:r>
      <w:r>
        <w:t>Pair Distribution Function (</w:t>
      </w:r>
      <w:r w:rsidRPr="004742BD">
        <w:t>PDF</w:t>
      </w:r>
      <w:r>
        <w:t>)</w:t>
      </w:r>
      <w:r w:rsidRPr="004742BD">
        <w:t xml:space="preserve"> studies of liquid or amorphous materials.</w:t>
      </w:r>
    </w:p>
    <w:p w14:paraId="18F867A2" w14:textId="77777777" w:rsidR="00A20AFF" w:rsidRPr="004742BD" w:rsidRDefault="00A20AFF" w:rsidP="00A20AFF">
      <w:pPr>
        <w:pStyle w:val="IUCrbodytext"/>
      </w:pPr>
      <w:r w:rsidRPr="004742BD">
        <w:t xml:space="preserve">The experiments described here were performed using a ~200 µs pulse train; the standard configuration offered by European XFEL where the 600 µs pulse train is split between the 3 undulators (SASE 1-3). In this operation mode, the delay time between the XFEL and the </w:t>
      </w:r>
      <w:proofErr w:type="spellStart"/>
      <w:r w:rsidRPr="004742BD">
        <w:t>dDAC</w:t>
      </w:r>
      <w:proofErr w:type="spellEnd"/>
      <w:r w:rsidRPr="004742BD">
        <w:t xml:space="preserve"> voltage waveform must be carefully chosen to align the X-ray window with the pressure range of interest. European XFEL has recently </w:t>
      </w:r>
      <w:r>
        <w:t>implemented</w:t>
      </w:r>
      <w:r w:rsidRPr="004742BD">
        <w:t xml:space="preserve"> a ‘long pulse train’ mode in which every nth train is delivered only to SASE 2. This mode was commissioned with n=100 and a 550 µs pulse train, where timing between the </w:t>
      </w:r>
      <w:proofErr w:type="spellStart"/>
      <w:r w:rsidRPr="004742BD">
        <w:t>dDAC</w:t>
      </w:r>
      <w:proofErr w:type="spellEnd"/>
      <w:r w:rsidRPr="004742BD">
        <w:t xml:space="preserve"> and the ‘long’ train can be performed using the methods described </w:t>
      </w:r>
      <w:r w:rsidRPr="004742BD">
        <w:lastRenderedPageBreak/>
        <w:t>here.</w:t>
      </w:r>
      <w:r>
        <w:t xml:space="preserve"> In this case, a total of 310 AGIPD images can be collected using a reduced intra-train repetition rate of 0.56 MHz, providing data coverage over the entire length of the pulse train.</w:t>
      </w:r>
    </w:p>
    <w:p w14:paraId="0CAC7358" w14:textId="77777777" w:rsidR="00A20AFF" w:rsidRDefault="00A20AFF" w:rsidP="00A20AFF">
      <w:pPr>
        <w:pStyle w:val="IUCrheading1"/>
        <w:numPr>
          <w:ilvl w:val="0"/>
          <w:numId w:val="34"/>
        </w:numPr>
        <w:textAlignment w:val="auto"/>
      </w:pPr>
      <w:r>
        <w:t>Conclusion</w:t>
      </w:r>
    </w:p>
    <w:p w14:paraId="4ED1A101" w14:textId="666B3ADF" w:rsidR="00A20AFF" w:rsidRDefault="00A20AFF" w:rsidP="00A20AFF">
      <w:pPr>
        <w:pStyle w:val="IUCrfigurecaption"/>
        <w:numPr>
          <w:ilvl w:val="0"/>
          <w:numId w:val="0"/>
        </w:numPr>
      </w:pPr>
      <w:r>
        <w:t xml:space="preserve">This work describes an experimental set-up at the HED instrument at the European X-ray Free Electron Laser which is capable of collecting pulse-resolved XRD data from samples as they are dynamically-compressed using piezo-driven diamond anvil cells. </w:t>
      </w:r>
      <w:r>
        <w:rPr>
          <w:rFonts w:eastAsia="Arial"/>
          <w:bCs/>
          <w:shd w:val="clear" w:color="FDFDFD" w:fill="FDFDFD"/>
        </w:rPr>
        <w:t xml:space="preserve">Compression timescales of ≥340 µs are perfectly suited to the pulse train length (200-550 µs), where the use of the AGIPD provides pulse-resolved XRD data at the intra-train repetition rate of the XFEL source. The capabilities of this platform are demonstrated by results from experiments on a range of different material systems with different X-ray absorption lengths. A maximum compression rate of ~87 </w:t>
      </w:r>
      <w:proofErr w:type="spellStart"/>
      <w:r>
        <w:rPr>
          <w:rFonts w:eastAsia="Arial"/>
          <w:bCs/>
          <w:shd w:val="clear" w:color="FDFDFD" w:fill="FDFDFD"/>
        </w:rPr>
        <w:t>TPa</w:t>
      </w:r>
      <w:proofErr w:type="spellEnd"/>
      <w:r>
        <w:rPr>
          <w:rFonts w:eastAsia="Arial"/>
          <w:bCs/>
          <w:shd w:val="clear" w:color="FDFDFD" w:fill="FDFDFD"/>
        </w:rPr>
        <w:t xml:space="preserve">/s was achieved during the fast compression of Au, and </w:t>
      </w:r>
      <w:r>
        <w:rPr>
          <w:color w:val="000000"/>
          <w:shd w:val="clear" w:color="auto" w:fill="FDFDFD"/>
        </w:rPr>
        <w:t>a maximum strain rate</w:t>
      </w:r>
      <w:r w:rsidRPr="00AF1DDA">
        <w:rPr>
          <w:color w:val="000000"/>
          <w:shd w:val="clear" w:color="auto" w:fill="FDFDFD"/>
        </w:rPr>
        <w:t xml:space="preserve"> of</w:t>
      </w:r>
      <w:r>
        <w:rPr>
          <w:color w:val="000000"/>
          <w:shd w:val="clear" w:color="auto" w:fill="FDFDFD"/>
        </w:rPr>
        <w:t xml:space="preserve"> ~1100 s</w:t>
      </w:r>
      <w:r w:rsidRPr="00F97054">
        <w:rPr>
          <w:color w:val="000000"/>
          <w:shd w:val="clear" w:color="auto" w:fill="FDFDFD"/>
          <w:vertAlign w:val="superscript"/>
        </w:rPr>
        <w:t xml:space="preserve">-1 </w:t>
      </w:r>
      <w:r w:rsidRPr="00F97054">
        <w:rPr>
          <w:color w:val="000000"/>
          <w:shd w:val="clear" w:color="auto" w:fill="FDFDFD"/>
          <w:lang w:val="en-US"/>
        </w:rPr>
        <w:t xml:space="preserve">was achieved during the compression of </w:t>
      </w:r>
      <w:r>
        <w:rPr>
          <w:color w:val="000000"/>
          <w:shd w:val="clear" w:color="auto" w:fill="FDFDFD"/>
          <w:lang w:val="en-US"/>
        </w:rPr>
        <w:t>N</w:t>
      </w:r>
      <w:r w:rsidRPr="00D70FC7">
        <w:rPr>
          <w:color w:val="000000"/>
          <w:shd w:val="clear" w:color="auto" w:fill="FDFDFD"/>
          <w:vertAlign w:val="subscript"/>
          <w:lang w:val="en-US"/>
        </w:rPr>
        <w:t>2</w:t>
      </w:r>
      <w:r>
        <w:rPr>
          <w:color w:val="000000"/>
          <w:shd w:val="clear" w:color="auto" w:fill="FDFDFD"/>
          <w:vertAlign w:val="subscript"/>
          <w:lang w:val="en-US"/>
        </w:rPr>
        <w:t xml:space="preserve"> </w:t>
      </w:r>
      <w:r>
        <w:rPr>
          <w:color w:val="000000"/>
          <w:shd w:val="clear" w:color="auto" w:fill="FDFDFD"/>
          <w:lang w:val="en-US"/>
        </w:rPr>
        <w:t>at 18</w:t>
      </w:r>
      <w:r w:rsidRPr="00F97054">
        <w:rPr>
          <w:color w:val="000000"/>
          <w:shd w:val="clear" w:color="auto" w:fill="FDFDFD"/>
          <w:lang w:val="en-US"/>
        </w:rPr>
        <w:t xml:space="preserve"> </w:t>
      </w:r>
      <w:proofErr w:type="spellStart"/>
      <w:r w:rsidRPr="00F97054">
        <w:rPr>
          <w:color w:val="000000"/>
          <w:shd w:val="clear" w:color="auto" w:fill="FDFDFD"/>
          <w:lang w:val="en-US"/>
        </w:rPr>
        <w:t>TPa</w:t>
      </w:r>
      <w:proofErr w:type="spellEnd"/>
      <w:r w:rsidRPr="00F97054">
        <w:rPr>
          <w:color w:val="000000"/>
          <w:shd w:val="clear" w:color="auto" w:fill="FDFDFD"/>
          <w:lang w:val="en-US"/>
        </w:rPr>
        <w:t xml:space="preserve">/s. </w:t>
      </w:r>
      <w:r w:rsidRPr="00F97054">
        <w:rPr>
          <w:color w:val="000000"/>
          <w:shd w:val="clear" w:color="auto" w:fill="FDFDFD"/>
        </w:rPr>
        <w:t xml:space="preserve"> </w:t>
      </w:r>
      <w:r>
        <w:rPr>
          <w:rFonts w:eastAsia="Arial"/>
          <w:bCs/>
          <w:shd w:val="clear" w:color="FDFDFD" w:fill="FDFDFD"/>
        </w:rPr>
        <w:t>Varying the X-ray fluence and using a relatively large focal spot size limited X-ray heating even in the high</w:t>
      </w:r>
      <w:r w:rsidR="0020499E">
        <w:rPr>
          <w:rFonts w:eastAsia="Arial"/>
          <w:bCs/>
          <w:shd w:val="clear" w:color="FDFDFD" w:fill="FDFDFD"/>
        </w:rPr>
        <w:t>-</w:t>
      </w:r>
      <w:r>
        <w:rPr>
          <w:rFonts w:eastAsia="Arial"/>
          <w:bCs/>
          <w:shd w:val="clear" w:color="FDFDFD" w:fill="FDFDFD"/>
        </w:rPr>
        <w:t xml:space="preserve">Z systems, demonstrating that this platform is suitable for kinetic studies in which the </w:t>
      </w:r>
      <w:r w:rsidRPr="002428B1">
        <w:rPr>
          <w:rFonts w:eastAsia="Arial"/>
          <w:bCs/>
          <w:i/>
          <w:shd w:val="clear" w:color="FDFDFD" w:fill="FDFDFD"/>
        </w:rPr>
        <w:t>P-T</w:t>
      </w:r>
      <w:r>
        <w:rPr>
          <w:rFonts w:eastAsia="Arial"/>
          <w:bCs/>
          <w:shd w:val="clear" w:color="FDFDFD" w:fill="FDFDFD"/>
        </w:rPr>
        <w:t xml:space="preserve"> path must be well constrained.</w:t>
      </w:r>
      <w:r>
        <w:t xml:space="preserve"> </w:t>
      </w:r>
    </w:p>
    <w:p w14:paraId="1E68EEEC" w14:textId="74C3FB27" w:rsidR="006722F5" w:rsidRPr="00E93CEC" w:rsidRDefault="00A20AFF" w:rsidP="005B34E1">
      <w:pPr>
        <w:pStyle w:val="IUCracknowledgements"/>
        <w:numPr>
          <w:ilvl w:val="0"/>
          <w:numId w:val="31"/>
        </w:numPr>
        <w:rPr>
          <w:szCs w:val="22"/>
        </w:rPr>
      </w:pPr>
      <w:r>
        <w:t xml:space="preserve">We acknowledge European XFEL in </w:t>
      </w:r>
      <w:proofErr w:type="spellStart"/>
      <w:r>
        <w:t>Schenefeld</w:t>
      </w:r>
      <w:proofErr w:type="spellEnd"/>
      <w:r>
        <w:t>, Germany, for provision of X-ray free-electron laser beamtime at Scientific Instrument HED (High Energy Density Science) and would like to thank the staff for their assistance.</w:t>
      </w:r>
      <w:r w:rsidR="00AE5401">
        <w:t xml:space="preserve"> </w:t>
      </w:r>
      <w:r w:rsidR="00AE5401" w:rsidRPr="00B41CEC">
        <w:rPr>
          <w:color w:val="000000"/>
        </w:rPr>
        <w:t xml:space="preserve">The authors are indebted to the HIBEF user consortium for the provision of instrumentation and staff </w:t>
      </w:r>
      <w:r w:rsidR="00AE5401" w:rsidRPr="00945028">
        <w:rPr>
          <w:color w:val="000000" w:themeColor="text1"/>
        </w:rPr>
        <w:t>that enabled this experiment.</w:t>
      </w:r>
      <w:r>
        <w:t xml:space="preserve"> We acknowledge DESY (Hamburg, Germany), a member of the Helmholtz Association HGF, for the provision of experimental facilities. Parts of this research were carried out at PETRA III (beamline P02.2). We thank M.W. (DESY) for his help with the design of the electrical wiring scheme.</w:t>
      </w:r>
      <w:r w:rsidRPr="00945028">
        <w:rPr>
          <w:color w:val="000000" w:themeColor="text1"/>
        </w:rPr>
        <w:t> </w:t>
      </w:r>
      <w:r w:rsidR="00AE5401">
        <w:t xml:space="preserve">A portion of this work was performed at HPCAT (Sector 16), </w:t>
      </w:r>
      <w:r w:rsidR="00AE5401" w:rsidRPr="00E93CEC">
        <w:rPr>
          <w:szCs w:val="22"/>
        </w:rPr>
        <w:t>Advanced Photon Source (APS), Argonne National Laboratory. HPCAT operations are supported by DOE-NNSA’s Office of Experimental Sciences.  The Advanced Photon Source is a U.S. Department of Energy (DOE) Office of Science User Facility operated for the DOE Office of Science by Argonne National Laboratory under Contract No. DE-AC02-06CH1135.</w:t>
      </w:r>
      <w:r w:rsidR="00AE5401">
        <w:rPr>
          <w:szCs w:val="22"/>
        </w:rPr>
        <w:t xml:space="preserve"> </w:t>
      </w:r>
      <w:r w:rsidR="00AE5401">
        <w:t>A portion of this</w:t>
      </w:r>
      <w:r w:rsidR="00AE5401" w:rsidRPr="002326B6">
        <w:t xml:space="preserve"> work was performed under the auspices of the US Department of Energy by Lawrence Livermore National Laboratory under Contract No. DE-AC52-07NA27344.</w:t>
      </w:r>
      <w:r w:rsidR="00AE5401">
        <w:t xml:space="preserve"> </w:t>
      </w:r>
      <w:r w:rsidRPr="00945028">
        <w:rPr>
          <w:color w:val="000000" w:themeColor="text1"/>
        </w:rPr>
        <w:t>This research was supported through the European Union’s Horizon 2020 research and innovation Programme (ERC grant 864877) as well as UKRI STFC grant ST/V000527/1.</w:t>
      </w:r>
      <w:r>
        <w:rPr>
          <w:b/>
          <w:color w:val="000000" w:themeColor="text1"/>
        </w:rPr>
        <w:t xml:space="preserve"> </w:t>
      </w:r>
      <w:r>
        <w:rPr>
          <w:color w:val="000000"/>
        </w:rPr>
        <w:t xml:space="preserve">CSY acknowledges the funding of DOE-NNSA (DE-NA-0004091) and NSF (DMR 2112653), supporting the effort at WSU. </w:t>
      </w:r>
      <w:r>
        <w:rPr>
          <w:szCs w:val="22"/>
        </w:rPr>
        <w:t xml:space="preserve">This work was supported by the UK Research &amp; Innovation Future Leaders Fellowship (MR/W008211/1). </w:t>
      </w:r>
      <w:r w:rsidR="003F79DC">
        <w:t xml:space="preserve">This research was supported by the German Science Foundation DFG though Research Unit FOR 2440/2 'Matter Under Planetary Interior Conditions' (grant SA 2585/5-1). </w:t>
      </w:r>
      <w:r w:rsidR="00AE5401">
        <w:t>H.H. thanks for the funding of this work has been provided by the Alexander von Humboldt Foundation, Germany.</w:t>
      </w:r>
    </w:p>
    <w:p w14:paraId="492A5346" w14:textId="17B07C2A" w:rsidR="00A20AFF" w:rsidRDefault="00A20AFF" w:rsidP="00A20AFF">
      <w:pPr>
        <w:pStyle w:val="IUCrheading4"/>
      </w:pPr>
      <w:r>
        <w:lastRenderedPageBreak/>
        <w:t>References</w:t>
      </w:r>
    </w:p>
    <w:p w14:paraId="54F2B21B" w14:textId="77777777" w:rsidR="004440FC" w:rsidRDefault="00A20AFF" w:rsidP="004440FC">
      <w:pPr>
        <w:pStyle w:val="Bibliography"/>
      </w:pPr>
      <w:r w:rsidRPr="001A0A59">
        <w:fldChar w:fldCharType="begin"/>
      </w:r>
      <w:r w:rsidRPr="001A0A59">
        <w:instrText xml:space="preserve"> ADDIN ZOTERO_BIBL {"uncited":[],"omitted":[],"custom":[]} CSL_BIBLIOGRAPHY </w:instrText>
      </w:r>
      <w:r w:rsidRPr="001A0A59">
        <w:fldChar w:fldCharType="separate"/>
      </w:r>
      <w:r w:rsidR="004440FC">
        <w:t xml:space="preserve">Allahgholi, A., Becker, J., Delfs, A., Dinapoli, R., Goettlicher, P., Greiffenberg, D., Henrich, B., Hirsemann, H., Kuhn, M., Klanner, R., Klyuev, A., Krueger, H., Lange, S., Laurus, T., Marras, A., Mezza, D., Mozzanica, A., Niemann, M., Poehlsen, J., Schwandt, J., Sheviakov, I., Shi, X., Smoljanin, S., Steffen, L., Sztuk-Dambietz, J., Trunk, U., Xia, Q., Zeribi, M., Zhang, J., Zimmer, M., Schmitt, B. &amp; Graafsma, H. (2019). </w:t>
      </w:r>
      <w:r w:rsidR="004440FC">
        <w:rPr>
          <w:i/>
          <w:iCs/>
        </w:rPr>
        <w:t>J. Synchrotron Rad.</w:t>
      </w:r>
      <w:r w:rsidR="004440FC">
        <w:t xml:space="preserve"> </w:t>
      </w:r>
      <w:r w:rsidR="004440FC">
        <w:rPr>
          <w:b/>
          <w:bCs/>
        </w:rPr>
        <w:t>26</w:t>
      </w:r>
      <w:r w:rsidR="004440FC">
        <w:t>, 74–82.</w:t>
      </w:r>
    </w:p>
    <w:p w14:paraId="7DA792A4" w14:textId="77777777" w:rsidR="004440FC" w:rsidRDefault="004440FC" w:rsidP="004440FC">
      <w:pPr>
        <w:pStyle w:val="Bibliography"/>
      </w:pPr>
      <w:r>
        <w:t xml:space="preserve">Anderson, O. L., Isaak, D. G. &amp; Yamamoto, S. (1989). </w:t>
      </w:r>
      <w:r>
        <w:rPr>
          <w:i/>
          <w:iCs/>
        </w:rPr>
        <w:t>J. Appl. Phys.</w:t>
      </w:r>
      <w:r>
        <w:t xml:space="preserve"> </w:t>
      </w:r>
      <w:r>
        <w:rPr>
          <w:b/>
          <w:bCs/>
        </w:rPr>
        <w:t>65</w:t>
      </w:r>
      <w:r>
        <w:t>, 1534–1543.</w:t>
      </w:r>
    </w:p>
    <w:p w14:paraId="20B19FCE" w14:textId="77777777" w:rsidR="004440FC" w:rsidRDefault="004440FC" w:rsidP="004440FC">
      <w:pPr>
        <w:pStyle w:val="Bibliography"/>
      </w:pPr>
      <w:r>
        <w:t xml:space="preserve">Bini, R., Ulivi, L., Kreutz, J. &amp; Jodl, H. J. (2000). </w:t>
      </w:r>
      <w:r>
        <w:rPr>
          <w:i/>
          <w:iCs/>
        </w:rPr>
        <w:t>J. Chem. Phys.</w:t>
      </w:r>
      <w:r>
        <w:t xml:space="preserve"> </w:t>
      </w:r>
      <w:r>
        <w:rPr>
          <w:b/>
          <w:bCs/>
        </w:rPr>
        <w:t>112</w:t>
      </w:r>
      <w:r>
        <w:t>, 8522–8529.</w:t>
      </w:r>
    </w:p>
    <w:p w14:paraId="594C6FFC" w14:textId="77777777" w:rsidR="004440FC" w:rsidRDefault="004440FC" w:rsidP="004440FC">
      <w:pPr>
        <w:pStyle w:val="Bibliography"/>
      </w:pPr>
      <w:r>
        <w:t xml:space="preserve">Chen, J.-Y. &amp; Yoo, C.-S. (2011). </w:t>
      </w:r>
      <w:r>
        <w:rPr>
          <w:i/>
          <w:iCs/>
        </w:rPr>
        <w:t>PNAS</w:t>
      </w:r>
      <w:r>
        <w:t xml:space="preserve"> </w:t>
      </w:r>
      <w:r>
        <w:rPr>
          <w:b/>
          <w:bCs/>
        </w:rPr>
        <w:t>108</w:t>
      </w:r>
      <w:r>
        <w:t>, 7685–7688.</w:t>
      </w:r>
    </w:p>
    <w:p w14:paraId="647101B1" w14:textId="77777777" w:rsidR="004440FC" w:rsidRDefault="004440FC" w:rsidP="004440FC">
      <w:pPr>
        <w:pStyle w:val="Bibliography"/>
      </w:pPr>
      <w:r>
        <w:t xml:space="preserve">Coleman, A. L., Gorman, M. G., Briggs, R., McWilliams, R. S., McGonegle, D., Bolme, C. A., Gleason, A. E., Fratanduono, D. E., Smith, R. F., Galtier, E., Lee, H. J., Nagler, B., Granados, E., Collins, G. W., Eggert, J. H., Wark, J. S. &amp; McMahon, M. I. (2019). </w:t>
      </w:r>
      <w:r>
        <w:rPr>
          <w:i/>
          <w:iCs/>
        </w:rPr>
        <w:t>Phys. Rev. Lett.</w:t>
      </w:r>
      <w:r>
        <w:t xml:space="preserve"> </w:t>
      </w:r>
      <w:r>
        <w:rPr>
          <w:b/>
          <w:bCs/>
        </w:rPr>
        <w:t>122</w:t>
      </w:r>
      <w:r>
        <w:t>, 255704.</w:t>
      </w:r>
    </w:p>
    <w:p w14:paraId="5E5AD9C3" w14:textId="77777777" w:rsidR="004440FC" w:rsidRDefault="004440FC" w:rsidP="004440FC">
      <w:pPr>
        <w:pStyle w:val="Bibliography"/>
      </w:pPr>
      <w:r>
        <w:t xml:space="preserve">Coppari, F., Smith, R. F., Wang, J., Millot, M., Kim, D., Rygg, J. R., Hamel, S., Eggert, J. H. &amp; Duffy, T. S. (2021). </w:t>
      </w:r>
      <w:r>
        <w:rPr>
          <w:i/>
          <w:iCs/>
        </w:rPr>
        <w:t>Nat. Geosci.</w:t>
      </w:r>
      <w:r>
        <w:t xml:space="preserve"> </w:t>
      </w:r>
      <w:r>
        <w:rPr>
          <w:b/>
          <w:bCs/>
        </w:rPr>
        <w:t>14</w:t>
      </w:r>
      <w:r>
        <w:t>, 121–126.</w:t>
      </w:r>
    </w:p>
    <w:p w14:paraId="5E60EE59" w14:textId="77777777" w:rsidR="004440FC" w:rsidRDefault="004440FC" w:rsidP="004440FC">
      <w:pPr>
        <w:pStyle w:val="Bibliography"/>
      </w:pPr>
      <w:r>
        <w:t xml:space="preserve">Degtyareva, O., MCMahon, M. I. &amp; Nelmes, R. J. (2004). </w:t>
      </w:r>
      <w:r>
        <w:rPr>
          <w:i/>
          <w:iCs/>
        </w:rPr>
        <w:t>High Press. Res.</w:t>
      </w:r>
      <w:r>
        <w:t xml:space="preserve"> </w:t>
      </w:r>
      <w:r>
        <w:rPr>
          <w:b/>
          <w:bCs/>
        </w:rPr>
        <w:t>24</w:t>
      </w:r>
      <w:r>
        <w:t>, 319–356.</w:t>
      </w:r>
    </w:p>
    <w:p w14:paraId="47A4A45F" w14:textId="77777777" w:rsidR="004440FC" w:rsidRDefault="004440FC" w:rsidP="004440FC">
      <w:pPr>
        <w:pStyle w:val="Bibliography"/>
      </w:pPr>
      <w:r>
        <w:t xml:space="preserve">Dewaele, A., Loubeyre, P. &amp; Mezouar, M. (2004). </w:t>
      </w:r>
      <w:r>
        <w:rPr>
          <w:i/>
          <w:iCs/>
        </w:rPr>
        <w:t>Phys. Rev. B</w:t>
      </w:r>
      <w:r>
        <w:t xml:space="preserve"> </w:t>
      </w:r>
      <w:r>
        <w:rPr>
          <w:b/>
          <w:bCs/>
        </w:rPr>
        <w:t>70</w:t>
      </w:r>
      <w:r>
        <w:t>, 094112.</w:t>
      </w:r>
    </w:p>
    <w:p w14:paraId="1242BAC3" w14:textId="77777777" w:rsidR="004440FC" w:rsidRDefault="004440FC" w:rsidP="004440FC">
      <w:pPr>
        <w:pStyle w:val="Bibliography"/>
      </w:pPr>
      <w:r>
        <w:t xml:space="preserve">Dewaele, A., Stutzmann, V., Bouchet, J., Bottin, F., Occelli, F. &amp; Mezouar, M. (2015). </w:t>
      </w:r>
      <w:r>
        <w:rPr>
          <w:i/>
          <w:iCs/>
        </w:rPr>
        <w:t>Phys. Rev. B</w:t>
      </w:r>
      <w:r>
        <w:t xml:space="preserve"> </w:t>
      </w:r>
      <w:r>
        <w:rPr>
          <w:b/>
          <w:bCs/>
        </w:rPr>
        <w:t>91</w:t>
      </w:r>
      <w:r>
        <w:t>, 134108.</w:t>
      </w:r>
    </w:p>
    <w:p w14:paraId="2503940C" w14:textId="77777777" w:rsidR="004440FC" w:rsidRDefault="004440FC" w:rsidP="004440FC">
      <w:pPr>
        <w:pStyle w:val="Bibliography"/>
      </w:pPr>
      <w:r>
        <w:t xml:space="preserve">Dolan, D. H., Knudson, M. D., Hall, C. A. &amp; Deeney, C. (2007). </w:t>
      </w:r>
      <w:r>
        <w:rPr>
          <w:i/>
          <w:iCs/>
        </w:rPr>
        <w:t>Nat. Phys.</w:t>
      </w:r>
      <w:r>
        <w:t xml:space="preserve"> </w:t>
      </w:r>
      <w:r>
        <w:rPr>
          <w:b/>
          <w:bCs/>
        </w:rPr>
        <w:t>3</w:t>
      </w:r>
      <w:r>
        <w:t>, 339–342.</w:t>
      </w:r>
    </w:p>
    <w:p w14:paraId="15535599" w14:textId="77777777" w:rsidR="004440FC" w:rsidRDefault="004440FC" w:rsidP="004440FC">
      <w:pPr>
        <w:pStyle w:val="Bibliography"/>
      </w:pPr>
      <w:r>
        <w:t xml:space="preserve">Dong, H., Dorfman, S. M., Holl, C. M., Meng, Y., Prakapenka, V. B., He, D. &amp; Duffy, T. S. (2014). </w:t>
      </w:r>
      <w:r>
        <w:rPr>
          <w:i/>
          <w:iCs/>
        </w:rPr>
        <w:t>High Press. Res.</w:t>
      </w:r>
      <w:r>
        <w:t xml:space="preserve"> </w:t>
      </w:r>
      <w:r>
        <w:rPr>
          <w:b/>
          <w:bCs/>
        </w:rPr>
        <w:t>34</w:t>
      </w:r>
      <w:r>
        <w:t>, 39–48.</w:t>
      </w:r>
    </w:p>
    <w:p w14:paraId="39077BC4" w14:textId="77777777" w:rsidR="004440FC" w:rsidRDefault="004440FC" w:rsidP="004440FC">
      <w:pPr>
        <w:pStyle w:val="Bibliography"/>
      </w:pPr>
      <w:r>
        <w:t xml:space="preserve">Duffy, T. S. &amp; Smith, R. F. (2019). </w:t>
      </w:r>
      <w:r>
        <w:rPr>
          <w:i/>
          <w:iCs/>
        </w:rPr>
        <w:t>Front. Earth Sci.</w:t>
      </w:r>
      <w:r>
        <w:t xml:space="preserve"> </w:t>
      </w:r>
      <w:r>
        <w:rPr>
          <w:b/>
          <w:bCs/>
        </w:rPr>
        <w:t>7</w:t>
      </w:r>
      <w:r>
        <w:t>.</w:t>
      </w:r>
    </w:p>
    <w:p w14:paraId="6F23D5FB" w14:textId="77777777" w:rsidR="004440FC" w:rsidRDefault="004440FC" w:rsidP="004440FC">
      <w:pPr>
        <w:pStyle w:val="Bibliography"/>
      </w:pPr>
      <w:r>
        <w:t xml:space="preserve">Eremets, M. I., Gavriliuk, A. G., Trojan, I. A., Dzivenko, D. A. &amp; Boehler, R. (2004). </w:t>
      </w:r>
      <w:r>
        <w:rPr>
          <w:i/>
          <w:iCs/>
        </w:rPr>
        <w:t>Nat. Mater.</w:t>
      </w:r>
      <w:r>
        <w:t xml:space="preserve"> </w:t>
      </w:r>
      <w:r>
        <w:rPr>
          <w:b/>
          <w:bCs/>
        </w:rPr>
        <w:t>3</w:t>
      </w:r>
      <w:r>
        <w:t>, 558–563.</w:t>
      </w:r>
    </w:p>
    <w:p w14:paraId="4CD4FED6" w14:textId="77777777" w:rsidR="004440FC" w:rsidRDefault="004440FC" w:rsidP="004440FC">
      <w:pPr>
        <w:pStyle w:val="Bibliography"/>
      </w:pPr>
      <w:r>
        <w:t xml:space="preserve">Eremets, M. I., Hemley, R. J., Mao, H. &amp; Gregoryanz, E. (2001). </w:t>
      </w:r>
      <w:r>
        <w:rPr>
          <w:i/>
          <w:iCs/>
        </w:rPr>
        <w:t>Nature</w:t>
      </w:r>
      <w:r>
        <w:t xml:space="preserve"> </w:t>
      </w:r>
      <w:r>
        <w:rPr>
          <w:b/>
          <w:bCs/>
        </w:rPr>
        <w:t>411</w:t>
      </w:r>
      <w:r>
        <w:t>, 170–174.</w:t>
      </w:r>
    </w:p>
    <w:p w14:paraId="22412CF0" w14:textId="77777777" w:rsidR="004440FC" w:rsidRDefault="004440FC" w:rsidP="004440FC">
      <w:pPr>
        <w:pStyle w:val="Bibliography"/>
      </w:pPr>
      <w:r>
        <w:t xml:space="preserve">Errandonea, D., Meng, Y., Somayazulu, M. &amp; Häusermann, D. (2005). </w:t>
      </w:r>
      <w:r>
        <w:rPr>
          <w:i/>
          <w:iCs/>
        </w:rPr>
        <w:t>Physica B: Condensed Matter</w:t>
      </w:r>
      <w:r>
        <w:t xml:space="preserve"> </w:t>
      </w:r>
      <w:r>
        <w:rPr>
          <w:b/>
          <w:bCs/>
        </w:rPr>
        <w:t>355</w:t>
      </w:r>
      <w:r>
        <w:t>, 116–125.</w:t>
      </w:r>
    </w:p>
    <w:p w14:paraId="3965BAD2" w14:textId="77777777" w:rsidR="004440FC" w:rsidRDefault="004440FC" w:rsidP="004440FC">
      <w:pPr>
        <w:pStyle w:val="Bibliography"/>
      </w:pPr>
      <w:r>
        <w:t xml:space="preserve">Evans, W. J., Yoo, C.-S., Lee, G. W., Cynn, H., Lipp, M. J. &amp; Visbeck, K. (2007). </w:t>
      </w:r>
      <w:r>
        <w:rPr>
          <w:i/>
          <w:iCs/>
        </w:rPr>
        <w:t>Rev. Sci. Instrum.</w:t>
      </w:r>
      <w:r>
        <w:t xml:space="preserve"> </w:t>
      </w:r>
      <w:r>
        <w:rPr>
          <w:b/>
          <w:bCs/>
        </w:rPr>
        <w:t>78</w:t>
      </w:r>
      <w:r>
        <w:t>, 073904.</w:t>
      </w:r>
    </w:p>
    <w:p w14:paraId="0EBCD6A5" w14:textId="77777777" w:rsidR="004440FC" w:rsidRDefault="004440FC" w:rsidP="004440FC">
      <w:pPr>
        <w:pStyle w:val="Bibliography"/>
      </w:pPr>
      <w:r>
        <w:t xml:space="preserve">Fratanduono, D. E., Millot, M., Braun, D. G., Ali, S. J., Fernandez-Pañella, A., Seagle, C. T., Davis, J.-P., Brown, J. L., Akahama, Y., Kraus, R. G., Marshall, M. C., Smith, R. F., O’Bannon, E. F., McNaney, J. M. &amp; Eggert, J. H. (2021). </w:t>
      </w:r>
      <w:r>
        <w:rPr>
          <w:i/>
          <w:iCs/>
        </w:rPr>
        <w:t>Science</w:t>
      </w:r>
      <w:r>
        <w:t xml:space="preserve"> </w:t>
      </w:r>
      <w:r>
        <w:rPr>
          <w:b/>
          <w:bCs/>
        </w:rPr>
        <w:t>372</w:t>
      </w:r>
      <w:r>
        <w:t>, 1063–1068.</w:t>
      </w:r>
    </w:p>
    <w:p w14:paraId="7D832EEF" w14:textId="77777777" w:rsidR="004440FC" w:rsidRDefault="004440FC" w:rsidP="004440FC">
      <w:pPr>
        <w:pStyle w:val="Bibliography"/>
      </w:pPr>
      <w:r>
        <w:t xml:space="preserve">Fratanduono, D. E., Smith, R. F., Ali, S. J., Braun, D. G., Fernandez-Pañella, A., Zhang, S., Kraus, R. G., Coppari, F., McNaney, J. M., Marshall, M. C., Kirch, L. E., Swift, D. C., Millot, M., Wicks, J. K. &amp; Eggert, J. H. (2020). </w:t>
      </w:r>
      <w:r>
        <w:rPr>
          <w:i/>
          <w:iCs/>
        </w:rPr>
        <w:t>Phys. Rev. Lett.</w:t>
      </w:r>
      <w:r>
        <w:t xml:space="preserve"> </w:t>
      </w:r>
      <w:r>
        <w:rPr>
          <w:b/>
          <w:bCs/>
        </w:rPr>
        <w:t>124</w:t>
      </w:r>
      <w:r>
        <w:t>, 015701.</w:t>
      </w:r>
    </w:p>
    <w:p w14:paraId="2CAC9377" w14:textId="77777777" w:rsidR="004440FC" w:rsidRDefault="004440FC" w:rsidP="004440FC">
      <w:pPr>
        <w:pStyle w:val="Bibliography"/>
      </w:pPr>
      <w:r>
        <w:lastRenderedPageBreak/>
        <w:t xml:space="preserve">Frost, M., Kim, J. B., McBride, E. E., Peterson, J. R., Smith, J. S., Sun, P. &amp; Glenzer, S. H. (2019). </w:t>
      </w:r>
      <w:r>
        <w:rPr>
          <w:i/>
          <w:iCs/>
        </w:rPr>
        <w:t>Phys. Rev. Lett.</w:t>
      </w:r>
      <w:r>
        <w:t xml:space="preserve"> </w:t>
      </w:r>
      <w:r>
        <w:rPr>
          <w:b/>
          <w:bCs/>
        </w:rPr>
        <w:t>123</w:t>
      </w:r>
      <w:r>
        <w:t>, 065701.</w:t>
      </w:r>
    </w:p>
    <w:p w14:paraId="73A213D2" w14:textId="77777777" w:rsidR="004440FC" w:rsidRDefault="004440FC" w:rsidP="004440FC">
      <w:pPr>
        <w:pStyle w:val="Bibliography"/>
      </w:pPr>
      <w:r>
        <w:t xml:space="preserve">Gleason, A. E., Bolme, C. A., Galtier, E., Lee, H. J., Granados, E., Dolan, D. H., Seagle, C. T., Ao, T., Ali, S., Lazicki, A., Swift, D., Celliers, P. &amp; Mao, W. L. (2017). </w:t>
      </w:r>
      <w:r>
        <w:rPr>
          <w:i/>
          <w:iCs/>
        </w:rPr>
        <w:t>Phys. Rev. Lett.</w:t>
      </w:r>
      <w:r>
        <w:t xml:space="preserve"> </w:t>
      </w:r>
      <w:r>
        <w:rPr>
          <w:b/>
          <w:bCs/>
        </w:rPr>
        <w:t>119</w:t>
      </w:r>
      <w:r>
        <w:t>, 025701.</w:t>
      </w:r>
    </w:p>
    <w:p w14:paraId="2BDF4618" w14:textId="77777777" w:rsidR="004440FC" w:rsidRDefault="004440FC" w:rsidP="004440FC">
      <w:pPr>
        <w:pStyle w:val="Bibliography"/>
      </w:pPr>
      <w:r>
        <w:t xml:space="preserve">Goncharov, A. F., Crowhurst, J. C., Dewhurst, J. K., Sharma, S., Sanloup, C., Gregoryanz, E., Guignot, N. &amp; Mezouar, M. (2007). </w:t>
      </w:r>
      <w:r>
        <w:rPr>
          <w:i/>
          <w:iCs/>
        </w:rPr>
        <w:t>Phys. Rev. B</w:t>
      </w:r>
      <w:r>
        <w:t xml:space="preserve"> </w:t>
      </w:r>
      <w:r>
        <w:rPr>
          <w:b/>
          <w:bCs/>
        </w:rPr>
        <w:t>75</w:t>
      </w:r>
      <w:r>
        <w:t>, 224114.</w:t>
      </w:r>
    </w:p>
    <w:p w14:paraId="2F90C24A" w14:textId="77777777" w:rsidR="004440FC" w:rsidRDefault="004440FC" w:rsidP="004440FC">
      <w:pPr>
        <w:pStyle w:val="Bibliography"/>
      </w:pPr>
      <w:r>
        <w:t xml:space="preserve">Gorman, M. G., Coleman, A. L., Briggs, R., McWilliams, R. S., McGonegle, D., Bolme, C. A., Gleason, A. E., Galtier, E., Lee, H. J., Granados, E., Śliwa, M., Sanloup, C., Rothman, S., Fratanduono, D. E., Smith, R. F., Collins, G. W., Eggert, J. H., Wark, J. S. &amp; McMahon, M. I. (2018). </w:t>
      </w:r>
      <w:r>
        <w:rPr>
          <w:i/>
          <w:iCs/>
        </w:rPr>
        <w:t>Sci. Rep.</w:t>
      </w:r>
      <w:r>
        <w:t xml:space="preserve"> </w:t>
      </w:r>
      <w:r>
        <w:rPr>
          <w:b/>
          <w:bCs/>
        </w:rPr>
        <w:t>8</w:t>
      </w:r>
      <w:r>
        <w:t>, 16927.</w:t>
      </w:r>
    </w:p>
    <w:p w14:paraId="5F7A53DE" w14:textId="77777777" w:rsidR="004440FC" w:rsidRDefault="004440FC" w:rsidP="004440FC">
      <w:pPr>
        <w:pStyle w:val="Bibliography"/>
      </w:pPr>
      <w:r>
        <w:t xml:space="preserve">Gorman, M. G., Wu, C. J., Smith, R. F., Benedict, L. X., Prisbrey, C. J., Schill, W., Bonev, S. A., Long, Z. C., Söderlind, P., Braun, D., Swift, D. C., Briggs, R., Volz, T. J., O’Bannon, E. F., Celliers, P. M., Fratanduono, D. E., Eggert, J. H., Ali, S. J. &amp; McNaney, J. M. (2023). </w:t>
      </w:r>
      <w:r>
        <w:rPr>
          <w:i/>
          <w:iCs/>
        </w:rPr>
        <w:t>Phys. Rev. B</w:t>
      </w:r>
      <w:r>
        <w:t xml:space="preserve"> </w:t>
      </w:r>
      <w:r>
        <w:rPr>
          <w:b/>
          <w:bCs/>
        </w:rPr>
        <w:t>107</w:t>
      </w:r>
      <w:r>
        <w:t>, 014109.</w:t>
      </w:r>
    </w:p>
    <w:p w14:paraId="72F05452" w14:textId="77777777" w:rsidR="004440FC" w:rsidRDefault="004440FC" w:rsidP="004440FC">
      <w:pPr>
        <w:pStyle w:val="Bibliography"/>
      </w:pPr>
      <w:r>
        <w:t xml:space="preserve">Gregor, M. C., Boni, R., Sorce, A., Kendrick, J., McCoy, C. A., Polsin, D. N., Boehly, T. R., Celliers, P. M., Collins, G. W., Fratanduono, D. E., Eggert, J. H. &amp; Millot, M. (2016). </w:t>
      </w:r>
      <w:r>
        <w:rPr>
          <w:i/>
          <w:iCs/>
        </w:rPr>
        <w:t>Rev. Sci. Instrum.</w:t>
      </w:r>
      <w:r>
        <w:t xml:space="preserve"> </w:t>
      </w:r>
      <w:r>
        <w:rPr>
          <w:b/>
          <w:bCs/>
        </w:rPr>
        <w:t>87</w:t>
      </w:r>
      <w:r>
        <w:t>, 114903.</w:t>
      </w:r>
    </w:p>
    <w:p w14:paraId="08DFC47B" w14:textId="77777777" w:rsidR="004440FC" w:rsidRDefault="004440FC" w:rsidP="004440FC">
      <w:pPr>
        <w:pStyle w:val="Bibliography"/>
      </w:pPr>
      <w:r>
        <w:t xml:space="preserve">Gregoryanz, E., Goncharov, A. F., Hemley, R. J. &amp; Mao, H. (2001). </w:t>
      </w:r>
      <w:r>
        <w:rPr>
          <w:i/>
          <w:iCs/>
        </w:rPr>
        <w:t>Phys. Rev. B</w:t>
      </w:r>
      <w:r>
        <w:t xml:space="preserve"> </w:t>
      </w:r>
      <w:r>
        <w:rPr>
          <w:b/>
          <w:bCs/>
        </w:rPr>
        <w:t>64</w:t>
      </w:r>
      <w:r>
        <w:t>, 052103.</w:t>
      </w:r>
    </w:p>
    <w:p w14:paraId="0B814B60" w14:textId="77777777" w:rsidR="004440FC" w:rsidRDefault="004440FC" w:rsidP="004440FC">
      <w:pPr>
        <w:pStyle w:val="Bibliography"/>
      </w:pPr>
      <w:r>
        <w:t xml:space="preserve">Hanfland, M., Lorenzen, M., Wassilew-Reul, C. &amp; Zontone, F. (1998). </w:t>
      </w:r>
      <w:r>
        <w:rPr>
          <w:i/>
          <w:iCs/>
        </w:rPr>
        <w:t>Rev. High Pressure Sci. Technol.</w:t>
      </w:r>
      <w:r>
        <w:t xml:space="preserve"> </w:t>
      </w:r>
      <w:r>
        <w:rPr>
          <w:b/>
          <w:bCs/>
        </w:rPr>
        <w:t>7</w:t>
      </w:r>
      <w:r>
        <w:t>, 787–789.</w:t>
      </w:r>
    </w:p>
    <w:p w14:paraId="7A354730" w14:textId="77777777" w:rsidR="004440FC" w:rsidRDefault="004440FC" w:rsidP="004440FC">
      <w:pPr>
        <w:pStyle w:val="Bibliography"/>
      </w:pPr>
      <w:r>
        <w:t xml:space="preserve">Henke, B. L., Gullikson, E. M. &amp; Davis, J. C. (1993). </w:t>
      </w:r>
      <w:r>
        <w:rPr>
          <w:i/>
          <w:iCs/>
        </w:rPr>
        <w:t>Atomic Data and Nuclear Data Tables</w:t>
      </w:r>
      <w:r>
        <w:t xml:space="preserve"> </w:t>
      </w:r>
      <w:r>
        <w:rPr>
          <w:b/>
          <w:bCs/>
        </w:rPr>
        <w:t>54</w:t>
      </w:r>
      <w:r>
        <w:t>, 181–342.</w:t>
      </w:r>
    </w:p>
    <w:p w14:paraId="68F8E7CF" w14:textId="77777777" w:rsidR="004440FC" w:rsidRDefault="004440FC" w:rsidP="004440FC">
      <w:pPr>
        <w:pStyle w:val="Bibliography"/>
      </w:pPr>
      <w:r>
        <w:t xml:space="preserve">Hennig, R. G., Trinkle, D. R., Bouchet, J., Srinivasan, S. G., Albers, R. C. &amp; Wilkins, J. W. (2005). </w:t>
      </w:r>
      <w:r>
        <w:rPr>
          <w:i/>
          <w:iCs/>
        </w:rPr>
        <w:t>Nat. Mater.</w:t>
      </w:r>
      <w:r>
        <w:t xml:space="preserve"> </w:t>
      </w:r>
      <w:r>
        <w:rPr>
          <w:b/>
          <w:bCs/>
        </w:rPr>
        <w:t>4</w:t>
      </w:r>
      <w:r>
        <w:t>, 129–133.</w:t>
      </w:r>
    </w:p>
    <w:p w14:paraId="2FE1D547" w14:textId="77777777" w:rsidR="004440FC" w:rsidRDefault="004440FC" w:rsidP="004440FC">
      <w:pPr>
        <w:pStyle w:val="Bibliography"/>
      </w:pPr>
      <w:r>
        <w:t xml:space="preserve">Husband, R. J., McWilliams, R. S., Pace, E. J., Coleman, A. L., Hwang, H., Choi, J., Kim, T., Hwang, G. C., Ball, O. B., Chun, S. H., Nam, D., Kim, S., Cynn, H., Prakapenka, V. B., Shim, S.-H., Toleikis, S., McMahon, M. I., Lee, Y. &amp; Liermann, H.-P. (2021). </w:t>
      </w:r>
      <w:r>
        <w:rPr>
          <w:i/>
          <w:iCs/>
        </w:rPr>
        <w:t>Commun. Mater.</w:t>
      </w:r>
      <w:r>
        <w:t xml:space="preserve"> </w:t>
      </w:r>
      <w:r>
        <w:rPr>
          <w:b/>
          <w:bCs/>
        </w:rPr>
        <w:t>2</w:t>
      </w:r>
      <w:r>
        <w:t>, 1–9.</w:t>
      </w:r>
    </w:p>
    <w:p w14:paraId="05BFDFE9" w14:textId="77777777" w:rsidR="004440FC" w:rsidRDefault="004440FC" w:rsidP="004440FC">
      <w:pPr>
        <w:pStyle w:val="Bibliography"/>
      </w:pPr>
      <w:r>
        <w:t xml:space="preserve">Husband, R. J., O’Bannon, E. F., Liermann, H.-P., Lipp, M. J., Méndez, A. S. J., Konôpková, Z., McBride, E. E., Evans, W. J. &amp; Jenei, Z. (2021). </w:t>
      </w:r>
      <w:r>
        <w:rPr>
          <w:i/>
          <w:iCs/>
        </w:rPr>
        <w:t>Sci. Rep.</w:t>
      </w:r>
      <w:r>
        <w:t xml:space="preserve"> </w:t>
      </w:r>
      <w:r>
        <w:rPr>
          <w:b/>
          <w:bCs/>
        </w:rPr>
        <w:t>11</w:t>
      </w:r>
      <w:r>
        <w:t>, 14859.</w:t>
      </w:r>
    </w:p>
    <w:p w14:paraId="2CFD9C54" w14:textId="77777777" w:rsidR="004440FC" w:rsidRDefault="004440FC" w:rsidP="004440FC">
      <w:pPr>
        <w:pStyle w:val="Bibliography"/>
      </w:pPr>
      <w:r>
        <w:t xml:space="preserve">Hwang, H., Kim, T., Cynn, H., Vogt, T., Husband, R. J., Appel, K., Baehtz, C., Ball, O. B., Baron, M. A., Briggs, R., Bykov, M., Bykova, E., Cerantola, V., Chantel, J., Coleman, A. L., Dattlebaum, D., Dresselhaus-Marais, L. E., Eggert, J. H., Ehm, L., Evans, W. J., Fiquet, G., Frost, M., Glazyrin, K., Goncharov, A. F., Jenei, Z., Kim, J., Konôpková, Z., Mainberger, J., Makita, M., Marquardt, H., McBride, E. E., McHardy, J. D., Merkel, S., Morard, G., O’Bannon, E. F., Otzen, C., Pace, E. J., Pelka, A., Pépin, C. M., Pigott, J. S., Prakapenka, V. B., Prescher, C., Redmer, R., Speziale, S., Spiekermann, G., Strohm, C., Sturtevant, B. T., Velisavljevic, N., Wilke, M., Yoo, C.-S., Zastrau, U., Liermann, H.-P., McMahon, M. I., McWilliams, R. S. &amp; Lee, Y. (2021). </w:t>
      </w:r>
      <w:r>
        <w:rPr>
          <w:i/>
          <w:iCs/>
        </w:rPr>
        <w:t>J. Phys. Chem. Lett.</w:t>
      </w:r>
      <w:r>
        <w:t xml:space="preserve"> </w:t>
      </w:r>
      <w:r>
        <w:rPr>
          <w:b/>
          <w:bCs/>
        </w:rPr>
        <w:t>12</w:t>
      </w:r>
      <w:r>
        <w:t>, 3246–3252.</w:t>
      </w:r>
    </w:p>
    <w:p w14:paraId="1862FC37" w14:textId="77777777" w:rsidR="004440FC" w:rsidRDefault="004440FC" w:rsidP="004440FC">
      <w:pPr>
        <w:pStyle w:val="Bibliography"/>
      </w:pPr>
      <w:r>
        <w:t xml:space="preserve">Jenei, Z., Cynn, H., Visbeck, K. &amp; Evans, W. J. (2013). </w:t>
      </w:r>
      <w:r>
        <w:rPr>
          <w:i/>
          <w:iCs/>
        </w:rPr>
        <w:t>Review of Scientific Instruments</w:t>
      </w:r>
      <w:r>
        <w:t xml:space="preserve"> </w:t>
      </w:r>
      <w:r>
        <w:rPr>
          <w:b/>
          <w:bCs/>
        </w:rPr>
        <w:t>84</w:t>
      </w:r>
      <w:r>
        <w:t>, 095114.</w:t>
      </w:r>
    </w:p>
    <w:p w14:paraId="28727837" w14:textId="77777777" w:rsidR="004440FC" w:rsidRDefault="004440FC" w:rsidP="004440FC">
      <w:pPr>
        <w:pStyle w:val="Bibliography"/>
      </w:pPr>
      <w:r>
        <w:t xml:space="preserve">Jenei, Z., Liermann, H. P., Husband, R., Méndez, A. S. J., Pennicard, D., Marquardt, H., O’Bannon, E. F., Pakhomova, A., Konopkova, Z., Glazyrin, K., Wendt, M., Wenz, S., McBride, E. E., </w:t>
      </w:r>
      <w:r>
        <w:lastRenderedPageBreak/>
        <w:t xml:space="preserve">Morgenroth, W., Winkler, B., Rothkirch, A., Hanfland, M. &amp; Evans, W. J. (2019). </w:t>
      </w:r>
      <w:r>
        <w:rPr>
          <w:i/>
          <w:iCs/>
        </w:rPr>
        <w:t>Rev. Sci. Instrum.</w:t>
      </w:r>
      <w:r>
        <w:t xml:space="preserve"> </w:t>
      </w:r>
      <w:r>
        <w:rPr>
          <w:b/>
          <w:bCs/>
        </w:rPr>
        <w:t>90</w:t>
      </w:r>
      <w:r>
        <w:t>, 065114.</w:t>
      </w:r>
    </w:p>
    <w:p w14:paraId="4A7A8C3A" w14:textId="77777777" w:rsidR="004440FC" w:rsidRDefault="004440FC" w:rsidP="004440FC">
      <w:pPr>
        <w:pStyle w:val="Bibliography"/>
      </w:pPr>
      <w:r>
        <w:t xml:space="preserve">Kim, D., Smith, R. F., Ocampo, I. K., Coppari, F., Marshall, M. C., Ginnane, M. K., Wicks, J. K., Tracy, S. J., Millot, M., Lazicki, A., Rygg, J. R., Eggert, J. H. &amp; Duffy, T. S. (2022). </w:t>
      </w:r>
      <w:r>
        <w:rPr>
          <w:i/>
          <w:iCs/>
        </w:rPr>
        <w:t>Nat. Commun.</w:t>
      </w:r>
      <w:r>
        <w:t xml:space="preserve"> </w:t>
      </w:r>
      <w:r>
        <w:rPr>
          <w:b/>
          <w:bCs/>
        </w:rPr>
        <w:t>13</w:t>
      </w:r>
      <w:r>
        <w:t>, 2260.</w:t>
      </w:r>
    </w:p>
    <w:p w14:paraId="5A627A64" w14:textId="77777777" w:rsidR="004440FC" w:rsidRDefault="004440FC" w:rsidP="004440FC">
      <w:pPr>
        <w:pStyle w:val="Bibliography"/>
      </w:pPr>
      <w:r>
        <w:t xml:space="preserve">Klement, W., Jayaraman, A. &amp; Kennedy, G. C. (1963). </w:t>
      </w:r>
      <w:r>
        <w:rPr>
          <w:i/>
          <w:iCs/>
        </w:rPr>
        <w:t>Phys. Rev.</w:t>
      </w:r>
      <w:r>
        <w:t xml:space="preserve"> </w:t>
      </w:r>
      <w:r>
        <w:rPr>
          <w:b/>
          <w:bCs/>
        </w:rPr>
        <w:t>131</w:t>
      </w:r>
      <w:r>
        <w:t>, 632–637.</w:t>
      </w:r>
    </w:p>
    <w:p w14:paraId="0EFE28B2" w14:textId="77777777" w:rsidR="004440FC" w:rsidRDefault="004440FC" w:rsidP="004440FC">
      <w:pPr>
        <w:pStyle w:val="Bibliography"/>
      </w:pPr>
      <w:r>
        <w:t xml:space="preserve">Klotz, S., Chervin, J.-C., Munsch, P. &amp; Marchand, G. L. (2009). </w:t>
      </w:r>
      <w:r>
        <w:rPr>
          <w:i/>
          <w:iCs/>
        </w:rPr>
        <w:t>J. Phys. D: Appl. Phys.</w:t>
      </w:r>
      <w:r>
        <w:t xml:space="preserve"> </w:t>
      </w:r>
      <w:r>
        <w:rPr>
          <w:b/>
          <w:bCs/>
        </w:rPr>
        <w:t>42</w:t>
      </w:r>
      <w:r>
        <w:t>, 075413.</w:t>
      </w:r>
    </w:p>
    <w:p w14:paraId="476BEA63" w14:textId="77777777" w:rsidR="004440FC" w:rsidRDefault="004440FC" w:rsidP="004440FC">
      <w:pPr>
        <w:pStyle w:val="Bibliography"/>
      </w:pPr>
      <w:r>
        <w:t xml:space="preserve">Klotz, S., Komatsu, K., Kagi, H., Kunc, K., Sano-Furukawa, A., Machida, S. &amp; Hattori, T. (2017). </w:t>
      </w:r>
      <w:r>
        <w:rPr>
          <w:i/>
          <w:iCs/>
        </w:rPr>
        <w:t>Phys. Rev. B</w:t>
      </w:r>
      <w:r>
        <w:t xml:space="preserve"> </w:t>
      </w:r>
      <w:r>
        <w:rPr>
          <w:b/>
          <w:bCs/>
        </w:rPr>
        <w:t>95</w:t>
      </w:r>
      <w:r>
        <w:t>, 174111.</w:t>
      </w:r>
    </w:p>
    <w:p w14:paraId="120BBAE0" w14:textId="77777777" w:rsidR="004440FC" w:rsidRDefault="004440FC" w:rsidP="004440FC">
      <w:pPr>
        <w:pStyle w:val="Bibliography"/>
      </w:pPr>
      <w:r>
        <w:t xml:space="preserve">Kraus, D., Vorberger, J., Pak, A., Hartley, N. J., Fletcher, L. B., Frydrych, S., Galtier, E., Gamboa, E. J., Gericke, D. O., Glenzer, S. H., Granados, E., MacDonald, M. J., MacKinnon, A. J., McBride, E. E., Nam, I., Neumayer, P., Roth, M., Saunders, A. M., Schuster, A. K., Sun, P., van Driel, T., Döppner, T. &amp; Falcone, R. W. (2017). </w:t>
      </w:r>
      <w:r>
        <w:rPr>
          <w:i/>
          <w:iCs/>
        </w:rPr>
        <w:t>Nat. Astron.</w:t>
      </w:r>
      <w:r>
        <w:t xml:space="preserve"> </w:t>
      </w:r>
      <w:r>
        <w:rPr>
          <w:b/>
          <w:bCs/>
        </w:rPr>
        <w:t>1</w:t>
      </w:r>
      <w:r>
        <w:t>, 606–611.</w:t>
      </w:r>
    </w:p>
    <w:p w14:paraId="670CCDDB" w14:textId="77777777" w:rsidR="004440FC" w:rsidRDefault="004440FC" w:rsidP="004440FC">
      <w:pPr>
        <w:pStyle w:val="Bibliography"/>
      </w:pPr>
      <w:r>
        <w:t xml:space="preserve">Lee, G. W., Evans, W. J. &amp; Yoo, C.-S. (2006). </w:t>
      </w:r>
      <w:r>
        <w:rPr>
          <w:i/>
          <w:iCs/>
        </w:rPr>
        <w:t>Phys. Rev. B</w:t>
      </w:r>
      <w:r>
        <w:t xml:space="preserve"> </w:t>
      </w:r>
      <w:r>
        <w:rPr>
          <w:b/>
          <w:bCs/>
        </w:rPr>
        <w:t>74</w:t>
      </w:r>
      <w:r>
        <w:t>, 134112.</w:t>
      </w:r>
    </w:p>
    <w:p w14:paraId="71424A62" w14:textId="77777777" w:rsidR="004440FC" w:rsidRDefault="004440FC" w:rsidP="004440FC">
      <w:pPr>
        <w:pStyle w:val="Bibliography"/>
      </w:pPr>
      <w:r>
        <w:t xml:space="preserve">Liermann, H. P., Konôpková, Z., Appel, K., Prescher, C., Schropp, A., Cerantola, V., Husband, R. J., McHardy, J. D., McMahon, M. I., McWilliams, R. S., Pépin, C. M., Mainberger, J., Roeper, M., Berghäuser, A., Damker, H., Talkovski, P., Foese, M., Kujala, N., Ball, O. B., Baron, M. A., Briggs, R., Bykov, M., Bykova, E., Chantel, J., Coleman, A. L., Cynn, H., Dattelbaum, D., Dresselhaus-Marais, L. E., Eggert, J. H., Ehm, L., Evans, W. J., Fiquet, G., Frost, M., Glazyrin, K., Goncharov, A. F., Hwang, H., Jenei, Z., Kim, J.-Y., Langenhorst, F., Lee, Y., Makita, M., Marquardt, H., McBride, E. E., Merkel, S., Morard, G., O’Bannon, E. F., Otzen, C., Pace, E. J., Pelka, A., Pigott, J. S., Prakapenka, V. B., Redmer, R., Sanchez-Valle, C., Schoelmerich, M., Speziale, S., Spiekermann, G., Sturtevant, B. T., Toleikis, S., Velisavljevic, N., Wilke, M., Yoo, C.-S., Baehtz, C., Zastrau, U. &amp; Strohm, C. (2021). </w:t>
      </w:r>
      <w:r>
        <w:rPr>
          <w:i/>
          <w:iCs/>
        </w:rPr>
        <w:t>J. Synchrotron Rad.</w:t>
      </w:r>
      <w:r>
        <w:t xml:space="preserve"> </w:t>
      </w:r>
      <w:r>
        <w:rPr>
          <w:b/>
          <w:bCs/>
        </w:rPr>
        <w:t>28</w:t>
      </w:r>
      <w:r>
        <w:t>, 688–706.</w:t>
      </w:r>
    </w:p>
    <w:p w14:paraId="172C8D29" w14:textId="77777777" w:rsidR="004440FC" w:rsidRDefault="004440FC" w:rsidP="004440FC">
      <w:pPr>
        <w:pStyle w:val="Bibliography"/>
      </w:pPr>
      <w:r>
        <w:t xml:space="preserve">Liermann, H.-P., Konôpková, Z., Morgenroth, W., Glazyrin, K., Bednarčik, J., McBride, E. E., Petitgirard, S., Delitz, J. T., Wendt, M., Bican, Y., Ehnes, A., Schwark, I., Rothkirch, A., Tischer, M., Heuer, J., Schulte-Schrepping, H., Kracht, T. &amp; Franz, H. (2015). </w:t>
      </w:r>
      <w:r>
        <w:rPr>
          <w:i/>
          <w:iCs/>
        </w:rPr>
        <w:t>J. Synchrotron Rad.</w:t>
      </w:r>
      <w:r>
        <w:t xml:space="preserve"> </w:t>
      </w:r>
      <w:r>
        <w:rPr>
          <w:b/>
          <w:bCs/>
        </w:rPr>
        <w:t>22</w:t>
      </w:r>
      <w:r>
        <w:t>, 908–924.</w:t>
      </w:r>
    </w:p>
    <w:p w14:paraId="2330259A" w14:textId="77777777" w:rsidR="004440FC" w:rsidRDefault="004440FC" w:rsidP="004440FC">
      <w:pPr>
        <w:pStyle w:val="Bibliography"/>
      </w:pPr>
      <w:r>
        <w:t xml:space="preserve">Liu, J., Dubrovinsky, L., Boffa Ballaran, T. &amp; Crichton, W. (2007). </w:t>
      </w:r>
      <w:r>
        <w:rPr>
          <w:i/>
          <w:iCs/>
        </w:rPr>
        <w:t>High Press. Res.</w:t>
      </w:r>
      <w:r>
        <w:t xml:space="preserve"> </w:t>
      </w:r>
      <w:r>
        <w:rPr>
          <w:b/>
          <w:bCs/>
        </w:rPr>
        <w:t>27</w:t>
      </w:r>
      <w:r>
        <w:t>, 483–489.</w:t>
      </w:r>
    </w:p>
    <w:p w14:paraId="091F5845" w14:textId="77777777" w:rsidR="004440FC" w:rsidRDefault="004440FC" w:rsidP="004440FC">
      <w:pPr>
        <w:pStyle w:val="Bibliography"/>
      </w:pPr>
      <w:r>
        <w:t xml:space="preserve">Mao, H. K., Xu, J. &amp; Bell, P. M. (1986). </w:t>
      </w:r>
      <w:r>
        <w:rPr>
          <w:i/>
          <w:iCs/>
        </w:rPr>
        <w:t>J. Geophys. Res. Solid Earth</w:t>
      </w:r>
      <w:r>
        <w:t xml:space="preserve"> </w:t>
      </w:r>
      <w:r>
        <w:rPr>
          <w:b/>
          <w:bCs/>
        </w:rPr>
        <w:t>91</w:t>
      </w:r>
      <w:r>
        <w:t>, 4673–4676.</w:t>
      </w:r>
    </w:p>
    <w:p w14:paraId="128A01F2" w14:textId="77777777" w:rsidR="004440FC" w:rsidRDefault="004440FC" w:rsidP="004440FC">
      <w:pPr>
        <w:pStyle w:val="Bibliography"/>
      </w:pPr>
      <w:r>
        <w:t xml:space="preserve">Marquardt, H., Buchen, J., Mendez, A. S. J., Kurnosov, A., Wendt, M., Rothkirch, A., Pennicard, D. &amp; Liermann, H.-P. (2018). </w:t>
      </w:r>
      <w:r>
        <w:rPr>
          <w:i/>
          <w:iCs/>
        </w:rPr>
        <w:t>Geophys. Res. Lett.</w:t>
      </w:r>
      <w:r>
        <w:t xml:space="preserve"> </w:t>
      </w:r>
      <w:r>
        <w:rPr>
          <w:b/>
          <w:bCs/>
        </w:rPr>
        <w:t>45</w:t>
      </w:r>
      <w:r>
        <w:t>, 6862–6868.</w:t>
      </w:r>
    </w:p>
    <w:p w14:paraId="53796134" w14:textId="77777777" w:rsidR="004440FC" w:rsidRDefault="004440FC" w:rsidP="004440FC">
      <w:pPr>
        <w:pStyle w:val="Bibliography"/>
      </w:pPr>
      <w:r>
        <w:t xml:space="preserve">Marshall, M. C., Millot, M., Fratanduono, D. E., Sterbentz, D. M., Myint, P. C., Belof, J. L., Kim, Y.-J., Coppari, F., Ali, S. J., Eggert, J. H., Smith, R. F. &amp; McNaney, J. M. (2021). </w:t>
      </w:r>
      <w:r>
        <w:rPr>
          <w:i/>
          <w:iCs/>
        </w:rPr>
        <w:t>Phys. Rev. Lett.</w:t>
      </w:r>
      <w:r>
        <w:t xml:space="preserve"> </w:t>
      </w:r>
      <w:r>
        <w:rPr>
          <w:b/>
          <w:bCs/>
        </w:rPr>
        <w:t>127</w:t>
      </w:r>
      <w:r>
        <w:t>, 135701.</w:t>
      </w:r>
    </w:p>
    <w:p w14:paraId="7292DBE2" w14:textId="77777777" w:rsidR="004440FC" w:rsidRDefault="004440FC" w:rsidP="004440FC">
      <w:pPr>
        <w:pStyle w:val="Bibliography"/>
      </w:pPr>
      <w:r>
        <w:t xml:space="preserve">McBride, E. E., Krygier, A., Ehnes, A., Galtier, E., Harmand, M., Konôpková, Z., Lee, H. J., Liermann, H.-P., Nagler, B., Pelka, A., Rödel, M., Schropp, A., Smith, R. F., Spindloe, C., Swift, D., Tavella, F., Toleikis, S., Tschentscher, T., Wark, J. S. &amp; Higginbotham, A. (2019). </w:t>
      </w:r>
      <w:r>
        <w:rPr>
          <w:i/>
          <w:iCs/>
        </w:rPr>
        <w:t>Nat. Phys.</w:t>
      </w:r>
      <w:r>
        <w:t xml:space="preserve"> </w:t>
      </w:r>
      <w:r>
        <w:rPr>
          <w:b/>
          <w:bCs/>
        </w:rPr>
        <w:t>15</w:t>
      </w:r>
      <w:r>
        <w:t>, 89–94.</w:t>
      </w:r>
    </w:p>
    <w:p w14:paraId="070A5EB2" w14:textId="77777777" w:rsidR="004440FC" w:rsidRDefault="004440FC" w:rsidP="004440FC">
      <w:pPr>
        <w:pStyle w:val="Bibliography"/>
      </w:pPr>
      <w:r>
        <w:lastRenderedPageBreak/>
        <w:t xml:space="preserve">McMahon, M. I. (2018). Vol. </w:t>
      </w:r>
      <w:r>
        <w:rPr>
          <w:i/>
          <w:iCs/>
        </w:rPr>
        <w:t>Synchrotron Light Sources and Free-Electron Lasers: Accelerator Physics, Instrumentation and Science Applications</w:t>
      </w:r>
      <w:r>
        <w:t>, edited by E. Jaeschke, S. Khan, J. R. Schneider &amp; J. B. Hastings. pp. 1–40. Cham: Springer International Publishing.</w:t>
      </w:r>
    </w:p>
    <w:p w14:paraId="33DF943A" w14:textId="77777777" w:rsidR="004440FC" w:rsidRDefault="004440FC" w:rsidP="004440FC">
      <w:pPr>
        <w:pStyle w:val="Bibliography"/>
      </w:pPr>
      <w:r>
        <w:t xml:space="preserve">McMahon, M. I., Degtyareva, O., Nelmes, R. J., van Smaalen, S. &amp; Palatinus, L. (2007). </w:t>
      </w:r>
      <w:r>
        <w:rPr>
          <w:i/>
          <w:iCs/>
        </w:rPr>
        <w:t>Phys. Rev. B</w:t>
      </w:r>
      <w:r>
        <w:t xml:space="preserve"> </w:t>
      </w:r>
      <w:r>
        <w:rPr>
          <w:b/>
          <w:bCs/>
        </w:rPr>
        <w:t>75</w:t>
      </w:r>
      <w:r>
        <w:t>, 184114.</w:t>
      </w:r>
    </w:p>
    <w:p w14:paraId="23464C70" w14:textId="77777777" w:rsidR="004440FC" w:rsidRDefault="004440FC" w:rsidP="004440FC">
      <w:pPr>
        <w:pStyle w:val="Bibliography"/>
      </w:pPr>
      <w:r>
        <w:t xml:space="preserve">McMahon, M. I. &amp; Nelmes, R. J. (2006). </w:t>
      </w:r>
      <w:r>
        <w:rPr>
          <w:i/>
          <w:iCs/>
        </w:rPr>
        <w:t>Chem. Soc. Rev.</w:t>
      </w:r>
      <w:r>
        <w:t xml:space="preserve"> </w:t>
      </w:r>
      <w:r>
        <w:rPr>
          <w:b/>
          <w:bCs/>
        </w:rPr>
        <w:t>35</w:t>
      </w:r>
      <w:r>
        <w:t>, 943–963.</w:t>
      </w:r>
    </w:p>
    <w:p w14:paraId="5AEF3695" w14:textId="77777777" w:rsidR="004440FC" w:rsidRDefault="004440FC" w:rsidP="004440FC">
      <w:pPr>
        <w:pStyle w:val="Bibliography"/>
      </w:pPr>
      <w:r>
        <w:t xml:space="preserve">Méndez, A. S. J., Stackhouse, S., Trautner, V., Wang, B., Satta, N., Kurnosov, A., Husband, R. J., Glazyrin, K., Liermann, H.-P. &amp; Marquardt, H. (2022). </w:t>
      </w:r>
      <w:r>
        <w:rPr>
          <w:i/>
          <w:iCs/>
        </w:rPr>
        <w:t>J. Geophys. Res. Solid Earth</w:t>
      </w:r>
      <w:r>
        <w:t xml:space="preserve"> </w:t>
      </w:r>
      <w:r>
        <w:rPr>
          <w:b/>
          <w:bCs/>
        </w:rPr>
        <w:t>127</w:t>
      </w:r>
      <w:r>
        <w:t>, e2021JB023832.</w:t>
      </w:r>
    </w:p>
    <w:p w14:paraId="260DE06D" w14:textId="77777777" w:rsidR="004440FC" w:rsidRDefault="004440FC" w:rsidP="004440FC">
      <w:pPr>
        <w:pStyle w:val="Bibliography"/>
      </w:pPr>
      <w:r>
        <w:t xml:space="preserve">Méndez, A. S. J., Trybel, F., Husband, R. J., Steinle-Neumann, G., Liermann, H.-P. &amp; Marquardt, H. (2021). </w:t>
      </w:r>
      <w:r>
        <w:rPr>
          <w:i/>
          <w:iCs/>
        </w:rPr>
        <w:t>Phys. Rev. B</w:t>
      </w:r>
      <w:r>
        <w:t xml:space="preserve"> </w:t>
      </w:r>
      <w:r>
        <w:rPr>
          <w:b/>
          <w:bCs/>
        </w:rPr>
        <w:t>103</w:t>
      </w:r>
      <w:r>
        <w:t>, 064104.</w:t>
      </w:r>
    </w:p>
    <w:p w14:paraId="7D677775" w14:textId="77777777" w:rsidR="004440FC" w:rsidRDefault="004440FC" w:rsidP="004440FC">
      <w:pPr>
        <w:pStyle w:val="Bibliography"/>
      </w:pPr>
      <w:r>
        <w:t xml:space="preserve">Meza-Galvez, J., Gomez-Perez, N., Marshall, A. S., Coleman, A. L., Appel, K., Liermann, H. P., McMahon, M. I., Konôpková, Z. &amp; McWilliams, R. S. (2020). </w:t>
      </w:r>
      <w:r>
        <w:rPr>
          <w:i/>
          <w:iCs/>
        </w:rPr>
        <w:t>J. Appl. Phys.</w:t>
      </w:r>
      <w:r>
        <w:t xml:space="preserve"> </w:t>
      </w:r>
      <w:r>
        <w:rPr>
          <w:b/>
          <w:bCs/>
        </w:rPr>
        <w:t>127</w:t>
      </w:r>
      <w:r>
        <w:t>, 195902.</w:t>
      </w:r>
    </w:p>
    <w:p w14:paraId="055EB6BF" w14:textId="77777777" w:rsidR="004440FC" w:rsidRDefault="004440FC" w:rsidP="004440FC">
      <w:pPr>
        <w:pStyle w:val="Bibliography"/>
      </w:pPr>
      <w:r>
        <w:t xml:space="preserve">Millot, M., Coppari, F., Rygg, J. R., Correa Barrios, A., Hamel, S., Swift, D. C. &amp; Eggert, J. H. (2019). </w:t>
      </w:r>
      <w:r>
        <w:rPr>
          <w:i/>
          <w:iCs/>
        </w:rPr>
        <w:t>Nature</w:t>
      </w:r>
      <w:r>
        <w:t xml:space="preserve"> </w:t>
      </w:r>
      <w:r>
        <w:rPr>
          <w:b/>
          <w:bCs/>
        </w:rPr>
        <w:t>569</w:t>
      </w:r>
      <w:r>
        <w:t>, 251–255.</w:t>
      </w:r>
    </w:p>
    <w:p w14:paraId="1D957EF4" w14:textId="77777777" w:rsidR="004440FC" w:rsidRDefault="004440FC" w:rsidP="004440FC">
      <w:pPr>
        <w:pStyle w:val="Bibliography"/>
      </w:pPr>
      <w:r>
        <w:t xml:space="preserve">Millot, M., Hamel, S., Rygg, J. R., Celliers, P. M., Collins, G. W., Coppari, F., Fratanduono, D. E., Jeanloz, R., Swift, D. C. &amp; Eggert, J. H. (2018). </w:t>
      </w:r>
      <w:r>
        <w:rPr>
          <w:i/>
          <w:iCs/>
        </w:rPr>
        <w:t>Nat. Phys.</w:t>
      </w:r>
      <w:r>
        <w:t xml:space="preserve"> </w:t>
      </w:r>
      <w:r>
        <w:rPr>
          <w:b/>
          <w:bCs/>
        </w:rPr>
        <w:t>14</w:t>
      </w:r>
      <w:r>
        <w:t>, 297–302.</w:t>
      </w:r>
    </w:p>
    <w:p w14:paraId="0B3407A6" w14:textId="77777777" w:rsidR="004440FC" w:rsidRDefault="004440FC" w:rsidP="004440FC">
      <w:pPr>
        <w:pStyle w:val="Bibliography"/>
      </w:pPr>
      <w:r>
        <w:t xml:space="preserve">Myint, P. C., Benedict, L. X. &amp; Belof, J. L. (2017). </w:t>
      </w:r>
      <w:r>
        <w:rPr>
          <w:i/>
          <w:iCs/>
        </w:rPr>
        <w:t>J. Chem. Phys.</w:t>
      </w:r>
      <w:r>
        <w:t xml:space="preserve"> </w:t>
      </w:r>
      <w:r>
        <w:rPr>
          <w:b/>
          <w:bCs/>
        </w:rPr>
        <w:t>147</w:t>
      </w:r>
      <w:r>
        <w:t>, 084505.</w:t>
      </w:r>
    </w:p>
    <w:p w14:paraId="661616D6" w14:textId="77777777" w:rsidR="004440FC" w:rsidRDefault="004440FC" w:rsidP="004440FC">
      <w:pPr>
        <w:pStyle w:val="Bibliography"/>
      </w:pPr>
      <w:r>
        <w:t xml:space="preserve">O’Bannon, E. F., Husband, R. J., Baer, B. J., Lipp, M. J., Liermann, H.-P., Evans, W. J. &amp; Jenei, Z. (2022). </w:t>
      </w:r>
      <w:r>
        <w:rPr>
          <w:i/>
          <w:iCs/>
        </w:rPr>
        <w:t>Sci. Rep.</w:t>
      </w:r>
      <w:r>
        <w:t xml:space="preserve"> </w:t>
      </w:r>
      <w:r>
        <w:rPr>
          <w:b/>
          <w:bCs/>
        </w:rPr>
        <w:t>12</w:t>
      </w:r>
      <w:r>
        <w:t>, 17294.</w:t>
      </w:r>
    </w:p>
    <w:p w14:paraId="7876FE09" w14:textId="77777777" w:rsidR="004440FC" w:rsidRDefault="004440FC" w:rsidP="004440FC">
      <w:pPr>
        <w:pStyle w:val="Bibliography"/>
      </w:pPr>
      <w:r>
        <w:t xml:space="preserve">Pennicard, D., Lange, S., Smoljanin, S., Hirsemann, H., Graafsma, H., Epple, M., Zuvic, M., Lampert, M.-O., Fritzsch, T. &amp; Rothermund, M. (2013). </w:t>
      </w:r>
      <w:r>
        <w:rPr>
          <w:i/>
          <w:iCs/>
        </w:rPr>
        <w:t>J. Phys.: Conf. Ser.</w:t>
      </w:r>
      <w:r>
        <w:t xml:space="preserve"> </w:t>
      </w:r>
      <w:r>
        <w:rPr>
          <w:b/>
          <w:bCs/>
        </w:rPr>
        <w:t>425</w:t>
      </w:r>
      <w:r>
        <w:t>, 062010.</w:t>
      </w:r>
    </w:p>
    <w:p w14:paraId="07FC8780" w14:textId="77777777" w:rsidR="004440FC" w:rsidRDefault="004440FC" w:rsidP="004440FC">
      <w:pPr>
        <w:pStyle w:val="Bibliography"/>
      </w:pPr>
      <w:r>
        <w:t xml:space="preserve">Pépin, C. M., Sollier, A., Marizy, A., Occelli, F., Sander, M., Torchio, R. &amp; Loubeyre, P. (2019). </w:t>
      </w:r>
      <w:r>
        <w:rPr>
          <w:i/>
          <w:iCs/>
        </w:rPr>
        <w:t>Phys. Rev. B</w:t>
      </w:r>
      <w:r>
        <w:t xml:space="preserve"> </w:t>
      </w:r>
      <w:r>
        <w:rPr>
          <w:b/>
          <w:bCs/>
        </w:rPr>
        <w:t>100</w:t>
      </w:r>
      <w:r>
        <w:t>, 060101.</w:t>
      </w:r>
    </w:p>
    <w:p w14:paraId="7DE6E016" w14:textId="77777777" w:rsidR="004440FC" w:rsidRDefault="004440FC" w:rsidP="004440FC">
      <w:pPr>
        <w:pStyle w:val="Bibliography"/>
      </w:pPr>
      <w:r>
        <w:t xml:space="preserve">Pistorius, C. W. F. T., Rapoport, E. &amp; Clark, J. B. (1968). </w:t>
      </w:r>
      <w:r>
        <w:rPr>
          <w:i/>
          <w:iCs/>
        </w:rPr>
        <w:t>J. Chem. Phys.</w:t>
      </w:r>
      <w:r>
        <w:t xml:space="preserve"> </w:t>
      </w:r>
      <w:r>
        <w:rPr>
          <w:b/>
          <w:bCs/>
        </w:rPr>
        <w:t>48</w:t>
      </w:r>
      <w:r>
        <w:t>, 5509–5514.</w:t>
      </w:r>
    </w:p>
    <w:p w14:paraId="1D2F9ABD" w14:textId="77777777" w:rsidR="004440FC" w:rsidRDefault="004440FC" w:rsidP="004440FC">
      <w:pPr>
        <w:pStyle w:val="Bibliography"/>
      </w:pPr>
      <w:r>
        <w:t xml:space="preserve">Prakapenka, V. B., Holtgrewe, N., Lobanov, S. S. &amp; Goncharov, A. F. (2021). </w:t>
      </w:r>
      <w:r>
        <w:rPr>
          <w:i/>
          <w:iCs/>
        </w:rPr>
        <w:t>Nat. Phys.</w:t>
      </w:r>
      <w:r>
        <w:t xml:space="preserve"> </w:t>
      </w:r>
      <w:r>
        <w:rPr>
          <w:b/>
          <w:bCs/>
        </w:rPr>
        <w:t>17</w:t>
      </w:r>
      <w:r>
        <w:t>, 1233–1238.</w:t>
      </w:r>
    </w:p>
    <w:p w14:paraId="46500A1E" w14:textId="77777777" w:rsidR="004440FC" w:rsidRDefault="004440FC" w:rsidP="004440FC">
      <w:pPr>
        <w:pStyle w:val="Bibliography"/>
      </w:pPr>
      <w:r>
        <w:t xml:space="preserve">Prescher, C. &amp; Prakapenka, V. B. (2015). </w:t>
      </w:r>
      <w:r>
        <w:rPr>
          <w:i/>
          <w:iCs/>
        </w:rPr>
        <w:t>High Press. Res.</w:t>
      </w:r>
      <w:r>
        <w:t xml:space="preserve"> </w:t>
      </w:r>
      <w:r>
        <w:rPr>
          <w:b/>
          <w:bCs/>
        </w:rPr>
        <w:t>35</w:t>
      </w:r>
      <w:r>
        <w:t>, 223–230.</w:t>
      </w:r>
    </w:p>
    <w:p w14:paraId="07A1095A" w14:textId="77777777" w:rsidR="004440FC" w:rsidRDefault="004440FC" w:rsidP="004440FC">
      <w:pPr>
        <w:pStyle w:val="Bibliography"/>
      </w:pPr>
      <w:r>
        <w:t xml:space="preserve">Queyroux, J.-A., Hernandez, J.-A., Weck, G., Ninet, S., Plisson, T., Klotz, S., Garbarino, G., Guignot, N., Mezouar, M., Hanfland, M., Itié, J.-P. &amp; Datchi, F. (2020). </w:t>
      </w:r>
      <w:r>
        <w:rPr>
          <w:i/>
          <w:iCs/>
        </w:rPr>
        <w:t>Phys. Rev. Lett.</w:t>
      </w:r>
      <w:r>
        <w:t xml:space="preserve"> </w:t>
      </w:r>
      <w:r>
        <w:rPr>
          <w:b/>
          <w:bCs/>
        </w:rPr>
        <w:t>125</w:t>
      </w:r>
      <w:r>
        <w:t>, 195501.</w:t>
      </w:r>
    </w:p>
    <w:p w14:paraId="47F07D1D" w14:textId="77777777" w:rsidR="004440FC" w:rsidRDefault="004440FC" w:rsidP="004440FC">
      <w:pPr>
        <w:pStyle w:val="Bibliography"/>
      </w:pPr>
      <w:r>
        <w:t xml:space="preserve">Schoelmerich, M. O., Mendez, A. S. J., Plueckthun, C., Biedermann, N., Husband, R., Preston, T. R., Wollenweber, L., Klimm, K., Tschentscher, T., Redmer, R., Liermann, H. P. &amp; Appel, K. (2022). </w:t>
      </w:r>
      <w:r>
        <w:rPr>
          <w:i/>
          <w:iCs/>
        </w:rPr>
        <w:t>Phys. Rev. B</w:t>
      </w:r>
      <w:r>
        <w:t xml:space="preserve"> </w:t>
      </w:r>
      <w:r>
        <w:rPr>
          <w:b/>
          <w:bCs/>
        </w:rPr>
        <w:t>105</w:t>
      </w:r>
      <w:r>
        <w:t>, 064109.</w:t>
      </w:r>
    </w:p>
    <w:p w14:paraId="6FFC9CF2" w14:textId="77777777" w:rsidR="004440FC" w:rsidRDefault="004440FC" w:rsidP="004440FC">
      <w:pPr>
        <w:pStyle w:val="Bibliography"/>
      </w:pPr>
      <w:r>
        <w:t xml:space="preserve">Shimizu, H., Nabetani, T., Nishiba, T. &amp; Sasaki, S. (1996). </w:t>
      </w:r>
      <w:r>
        <w:rPr>
          <w:i/>
          <w:iCs/>
        </w:rPr>
        <w:t>Phys. Rev. B</w:t>
      </w:r>
      <w:r>
        <w:t xml:space="preserve"> </w:t>
      </w:r>
      <w:r>
        <w:rPr>
          <w:b/>
          <w:bCs/>
        </w:rPr>
        <w:t>53</w:t>
      </w:r>
      <w:r>
        <w:t>, 6107–6110.</w:t>
      </w:r>
    </w:p>
    <w:p w14:paraId="491DE0D5" w14:textId="77777777" w:rsidR="004440FC" w:rsidRDefault="004440FC" w:rsidP="004440FC">
      <w:pPr>
        <w:pStyle w:val="Bibliography"/>
      </w:pPr>
      <w:r>
        <w:t xml:space="preserve">Singh, A. K., Balasingh, C., Mao, H., Hemley, R. J. &amp; Shu, J. (1998). </w:t>
      </w:r>
      <w:r>
        <w:rPr>
          <w:i/>
          <w:iCs/>
        </w:rPr>
        <w:t>J. Appl. Phys.</w:t>
      </w:r>
      <w:r>
        <w:t xml:space="preserve"> </w:t>
      </w:r>
      <w:r>
        <w:rPr>
          <w:b/>
          <w:bCs/>
        </w:rPr>
        <w:t>83</w:t>
      </w:r>
      <w:r>
        <w:t>, 7567–7575.</w:t>
      </w:r>
    </w:p>
    <w:p w14:paraId="1A471B08" w14:textId="77777777" w:rsidR="004440FC" w:rsidRDefault="004440FC" w:rsidP="004440FC">
      <w:pPr>
        <w:pStyle w:val="Bibliography"/>
      </w:pPr>
      <w:r>
        <w:lastRenderedPageBreak/>
        <w:t xml:space="preserve">Sinogeikin, S. V., Smith, J. S., Rod, E., Lin, C., Kenney-Benson, C. &amp; Shen, G. (2015). </w:t>
      </w:r>
      <w:r>
        <w:rPr>
          <w:i/>
          <w:iCs/>
        </w:rPr>
        <w:t>Rev. Sci. Instrum.</w:t>
      </w:r>
      <w:r>
        <w:t xml:space="preserve"> </w:t>
      </w:r>
      <w:r>
        <w:rPr>
          <w:b/>
          <w:bCs/>
        </w:rPr>
        <w:t>86</w:t>
      </w:r>
      <w:r>
        <w:t>, 072209.</w:t>
      </w:r>
    </w:p>
    <w:p w14:paraId="34E4B89B" w14:textId="77777777" w:rsidR="004440FC" w:rsidRDefault="004440FC" w:rsidP="004440FC">
      <w:pPr>
        <w:pStyle w:val="Bibliography"/>
      </w:pPr>
      <w:r>
        <w:t xml:space="preserve">Smith, R. F., Eggert, J. H., Saculla, M. D., Jankowski, A. F., Bastea, M., Hicks, D. G. &amp; Collins, G. W. (2008). </w:t>
      </w:r>
      <w:r>
        <w:rPr>
          <w:i/>
          <w:iCs/>
        </w:rPr>
        <w:t>Phys. Rev. Lett.</w:t>
      </w:r>
      <w:r>
        <w:t xml:space="preserve"> </w:t>
      </w:r>
      <w:r>
        <w:rPr>
          <w:b/>
          <w:bCs/>
        </w:rPr>
        <w:t>101</w:t>
      </w:r>
      <w:r>
        <w:t>, 065701.</w:t>
      </w:r>
    </w:p>
    <w:p w14:paraId="458ADCB6" w14:textId="77777777" w:rsidR="004440FC" w:rsidRDefault="004440FC" w:rsidP="004440FC">
      <w:pPr>
        <w:pStyle w:val="Bibliography"/>
      </w:pPr>
      <w:r>
        <w:t xml:space="preserve">Takemura, K. &amp; Dewaele, A. (2008). </w:t>
      </w:r>
      <w:r>
        <w:rPr>
          <w:i/>
          <w:iCs/>
        </w:rPr>
        <w:t>Phys. Rev. B</w:t>
      </w:r>
      <w:r>
        <w:t xml:space="preserve"> </w:t>
      </w:r>
      <w:r>
        <w:rPr>
          <w:b/>
          <w:bCs/>
        </w:rPr>
        <w:t>78</w:t>
      </w:r>
      <w:r>
        <w:t>, 104119.</w:t>
      </w:r>
    </w:p>
    <w:p w14:paraId="7B421A1D" w14:textId="77777777" w:rsidR="004440FC" w:rsidRDefault="004440FC" w:rsidP="004440FC">
      <w:pPr>
        <w:pStyle w:val="Bibliography"/>
      </w:pPr>
      <w:r>
        <w:t xml:space="preserve">Tomasino, D., Kim, M., Smith, J. &amp; Yoo, C.-S. (2014). </w:t>
      </w:r>
      <w:r>
        <w:rPr>
          <w:i/>
          <w:iCs/>
        </w:rPr>
        <w:t>Phys. Rev. Lett.</w:t>
      </w:r>
      <w:r>
        <w:t xml:space="preserve"> </w:t>
      </w:r>
      <w:r>
        <w:rPr>
          <w:b/>
          <w:bCs/>
        </w:rPr>
        <w:t>113</w:t>
      </w:r>
      <w:r>
        <w:t>, 205502.</w:t>
      </w:r>
    </w:p>
    <w:p w14:paraId="31F0CF3C" w14:textId="77777777" w:rsidR="004440FC" w:rsidRDefault="004440FC" w:rsidP="004440FC">
      <w:pPr>
        <w:pStyle w:val="Bibliography"/>
      </w:pPr>
      <w:r>
        <w:t xml:space="preserve">Tomasino, D. &amp; Yoo, C.-S. (2017). </w:t>
      </w:r>
      <w:r>
        <w:rPr>
          <w:i/>
          <w:iCs/>
        </w:rPr>
        <w:t>AIP Conference Proceedings</w:t>
      </w:r>
      <w:r>
        <w:t xml:space="preserve"> </w:t>
      </w:r>
      <w:r>
        <w:rPr>
          <w:b/>
          <w:bCs/>
        </w:rPr>
        <w:t>1793</w:t>
      </w:r>
      <w:r>
        <w:t>, 060002.</w:t>
      </w:r>
    </w:p>
    <w:p w14:paraId="7E4AFEA5" w14:textId="77777777" w:rsidR="004440FC" w:rsidRDefault="004440FC" w:rsidP="004440FC">
      <w:pPr>
        <w:pStyle w:val="Bibliography"/>
      </w:pPr>
      <w:r>
        <w:t xml:space="preserve">Velisavljevic, N., Jacobsen, M. K. &amp; Vohra, Y. K. (2014). </w:t>
      </w:r>
      <w:r>
        <w:rPr>
          <w:i/>
          <w:iCs/>
        </w:rPr>
        <w:t>Mater. Res. Express</w:t>
      </w:r>
      <w:r>
        <w:t xml:space="preserve"> </w:t>
      </w:r>
      <w:r>
        <w:rPr>
          <w:b/>
          <w:bCs/>
        </w:rPr>
        <w:t>1</w:t>
      </w:r>
      <w:r>
        <w:t>, 035044.</w:t>
      </w:r>
    </w:p>
    <w:p w14:paraId="1E17F595" w14:textId="77777777" w:rsidR="004440FC" w:rsidRDefault="004440FC" w:rsidP="004440FC">
      <w:pPr>
        <w:pStyle w:val="Bibliography"/>
      </w:pPr>
      <w:r>
        <w:t xml:space="preserve">Wark, J. S., McMahon, M. I. &amp; Eggert, J. H. (2022). </w:t>
      </w:r>
      <w:r>
        <w:rPr>
          <w:i/>
          <w:iCs/>
        </w:rPr>
        <w:t>J. Appl. Phys.</w:t>
      </w:r>
      <w:r>
        <w:t xml:space="preserve"> </w:t>
      </w:r>
      <w:r>
        <w:rPr>
          <w:b/>
          <w:bCs/>
        </w:rPr>
        <w:t>132</w:t>
      </w:r>
      <w:r>
        <w:t>, 080902.</w:t>
      </w:r>
    </w:p>
    <w:p w14:paraId="18350F80" w14:textId="77777777" w:rsidR="004440FC" w:rsidRDefault="004440FC" w:rsidP="004440FC">
      <w:pPr>
        <w:pStyle w:val="Bibliography"/>
      </w:pPr>
      <w:r>
        <w:t xml:space="preserve">Weck, G., Queyroux, J.-A., Ninet, S., Datchi, F., Mezouar, M. &amp; Loubeyre, P. (2022). </w:t>
      </w:r>
      <w:r>
        <w:rPr>
          <w:i/>
          <w:iCs/>
        </w:rPr>
        <w:t>Phys. Rev. Lett.</w:t>
      </w:r>
      <w:r>
        <w:t xml:space="preserve"> </w:t>
      </w:r>
      <w:r>
        <w:rPr>
          <w:b/>
          <w:bCs/>
        </w:rPr>
        <w:t>128</w:t>
      </w:r>
      <w:r>
        <w:t>, 165701.</w:t>
      </w:r>
    </w:p>
    <w:p w14:paraId="46A06815" w14:textId="77777777" w:rsidR="004440FC" w:rsidRDefault="004440FC" w:rsidP="004440FC">
      <w:pPr>
        <w:pStyle w:val="Bibliography"/>
      </w:pPr>
      <w:r>
        <w:t xml:space="preserve">Wicks, J. K., Smith, R. F., Fratanduono, D. E., Coppari, F., Kraus, R. G., Newman, M. G., Rygg, J. R., Eggert, J. H. &amp; Duffy, T. S. (2018). </w:t>
      </w:r>
      <w:r>
        <w:rPr>
          <w:i/>
          <w:iCs/>
        </w:rPr>
        <w:t>Sci. Adv.</w:t>
      </w:r>
      <w:r>
        <w:t xml:space="preserve"> </w:t>
      </w:r>
      <w:r>
        <w:rPr>
          <w:b/>
          <w:bCs/>
        </w:rPr>
        <w:t>4</w:t>
      </w:r>
      <w:r>
        <w:t>, eaao5864.</w:t>
      </w:r>
    </w:p>
    <w:p w14:paraId="12C5CB84" w14:textId="77777777" w:rsidR="004440FC" w:rsidRDefault="004440FC" w:rsidP="004440FC">
      <w:pPr>
        <w:pStyle w:val="Bibliography"/>
      </w:pPr>
      <w:r>
        <w:t xml:space="preserve">Yan, J., Liu, X., Gorelli, F. A., Xu, H., Zhang, H., Hu, H., Gregoryanz, E. &amp; Dalladay-Simpson, P. (2022). </w:t>
      </w:r>
      <w:r>
        <w:rPr>
          <w:i/>
          <w:iCs/>
        </w:rPr>
        <w:t>J. Sci. Instrum.</w:t>
      </w:r>
      <w:r>
        <w:t xml:space="preserve"> </w:t>
      </w:r>
      <w:r>
        <w:rPr>
          <w:b/>
          <w:bCs/>
        </w:rPr>
        <w:t>93</w:t>
      </w:r>
      <w:r>
        <w:t>, 063901.</w:t>
      </w:r>
    </w:p>
    <w:p w14:paraId="491D5148" w14:textId="77777777" w:rsidR="004440FC" w:rsidRDefault="004440FC" w:rsidP="004440FC">
      <w:pPr>
        <w:pStyle w:val="Bibliography"/>
      </w:pPr>
      <w:r>
        <w:t xml:space="preserve">Yang, D.-L., Liu, J., Lin, C.-L., Jing, Q.-M., Zhang, Y., Gong, Y., Li, Y.-C. &amp; Li, X.-D. (2019). </w:t>
      </w:r>
      <w:r>
        <w:rPr>
          <w:i/>
          <w:iCs/>
        </w:rPr>
        <w:t>Chinese Phys. B</w:t>
      </w:r>
      <w:r>
        <w:t xml:space="preserve"> </w:t>
      </w:r>
      <w:r>
        <w:rPr>
          <w:b/>
          <w:bCs/>
        </w:rPr>
        <w:t>28</w:t>
      </w:r>
      <w:r>
        <w:t>, 036201.</w:t>
      </w:r>
    </w:p>
    <w:p w14:paraId="04C41831" w14:textId="77777777" w:rsidR="004440FC" w:rsidRDefault="004440FC" w:rsidP="004440FC">
      <w:pPr>
        <w:pStyle w:val="Bibliography"/>
      </w:pPr>
      <w:r>
        <w:t xml:space="preserve">Zastrau, U., Appel, K., Baehtz, C., Baehr, O., Batchelor, L., Berghäuser, A., Banjafar, M., Brambrink, E., Cerantola, V., Cowan, T. E., Damker, H., Dietrich, S., Di Dio Cafiso, S., Dreyer, J., Engel, H.-O., Feldmann, T., Findeisen, S., Foese, M., Fulla-Marsa, D., Göde, S., Hassan, M., Hauser, J., Herrmannsdörfer, T., Höppner, H., Kaa, J., Kaever, P., Knöfel, K., Konôpková, Z., Laso García, A., Liermann, H.-P., Mainberger, J., Makita, M., Martens, E.-C., McBride, E. E., Möller, D., Nakatsutsumi, M., Pelka, A., Plueckthun, C., Prescher, C., Preston, T. R., Röper, M., Schmidt, A., Seidel, W., Schwinkendorf, J.-P., Schoelmerich, M. O., Schramm, U., Schropp, A., Strohm, C., Sukharnikov, K., Talkovski, P., Thorpe, I., Toncian, M., Toncian, T., Wollenweber, L., Yamamoto, S. &amp; Tschentscher, T. (2021). </w:t>
      </w:r>
      <w:r>
        <w:rPr>
          <w:i/>
          <w:iCs/>
        </w:rPr>
        <w:t>J. Synchrotron Rad.</w:t>
      </w:r>
      <w:r>
        <w:t xml:space="preserve"> </w:t>
      </w:r>
      <w:r>
        <w:rPr>
          <w:b/>
          <w:bCs/>
        </w:rPr>
        <w:t>28</w:t>
      </w:r>
      <w:r>
        <w:t>, 1393–1416.</w:t>
      </w:r>
    </w:p>
    <w:p w14:paraId="71E0CBE4" w14:textId="77777777" w:rsidR="004440FC" w:rsidRDefault="004440FC" w:rsidP="004440FC">
      <w:pPr>
        <w:pStyle w:val="Bibliography"/>
      </w:pPr>
      <w:r>
        <w:t>Zhang, J., Zhao, Y., Hixson, R. S., Gray, G. T., Wang, L., Utsumi, W., Hiroyuki, S. &amp; Takanori, H. (2008</w:t>
      </w:r>
      <w:r>
        <w:rPr>
          <w:i/>
          <w:iCs/>
        </w:rPr>
        <w:t>a</w:t>
      </w:r>
      <w:r>
        <w:t xml:space="preserve">). </w:t>
      </w:r>
      <w:r>
        <w:rPr>
          <w:i/>
          <w:iCs/>
        </w:rPr>
        <w:t>J. Phys. Chem. Solids</w:t>
      </w:r>
      <w:r>
        <w:t xml:space="preserve"> </w:t>
      </w:r>
      <w:r>
        <w:rPr>
          <w:b/>
          <w:bCs/>
        </w:rPr>
        <w:t>69</w:t>
      </w:r>
      <w:r>
        <w:t>, 2559–2563.</w:t>
      </w:r>
    </w:p>
    <w:p w14:paraId="57FADD97" w14:textId="77777777" w:rsidR="004440FC" w:rsidRDefault="004440FC" w:rsidP="004440FC">
      <w:pPr>
        <w:pStyle w:val="Bibliography"/>
      </w:pPr>
      <w:r>
        <w:t>Zhang, J., Zhao, Y., Hixson, R. S., Gray, G. T., Wang, L., Utsumi, W., Hiroyuki, S. &amp; Takanori, H. (2008</w:t>
      </w:r>
      <w:r>
        <w:rPr>
          <w:i/>
          <w:iCs/>
        </w:rPr>
        <w:t>b</w:t>
      </w:r>
      <w:r>
        <w:t xml:space="preserve">). </w:t>
      </w:r>
      <w:r>
        <w:rPr>
          <w:i/>
          <w:iCs/>
        </w:rPr>
        <w:t>Phys. Rev. B</w:t>
      </w:r>
      <w:r>
        <w:t xml:space="preserve"> </w:t>
      </w:r>
      <w:r>
        <w:rPr>
          <w:b/>
          <w:bCs/>
        </w:rPr>
        <w:t>78</w:t>
      </w:r>
      <w:r>
        <w:t>, 054119.</w:t>
      </w:r>
    </w:p>
    <w:p w14:paraId="4E13DC1F" w14:textId="77777777" w:rsidR="004440FC" w:rsidRDefault="004440FC" w:rsidP="004440FC">
      <w:pPr>
        <w:pStyle w:val="Bibliography"/>
      </w:pPr>
      <w:r>
        <w:t xml:space="preserve">Zinn, A. S., Schiferl, D. &amp; Nicol, M. F. (1987). </w:t>
      </w:r>
      <w:r>
        <w:rPr>
          <w:i/>
          <w:iCs/>
        </w:rPr>
        <w:t>J. Chem. Phys.</w:t>
      </w:r>
      <w:r>
        <w:t xml:space="preserve"> </w:t>
      </w:r>
      <w:r>
        <w:rPr>
          <w:b/>
          <w:bCs/>
        </w:rPr>
        <w:t>87</w:t>
      </w:r>
      <w:r>
        <w:t>, 1267–1271.</w:t>
      </w:r>
    </w:p>
    <w:p w14:paraId="59E25BA1" w14:textId="6AF06B2C" w:rsidR="00A20AFF" w:rsidRPr="001A0A59" w:rsidRDefault="00A20AFF" w:rsidP="00A20AFF">
      <w:pPr>
        <w:pStyle w:val="IUCrbodytext"/>
        <w:rPr>
          <w:rStyle w:val="IUCrsanstextgreysmall"/>
          <w:rFonts w:ascii="Times New Roman" w:hAnsi="Times New Roman"/>
          <w:color w:val="auto"/>
          <w:sz w:val="22"/>
          <w:szCs w:val="22"/>
        </w:rPr>
      </w:pPr>
      <w:r w:rsidRPr="001A0A59">
        <w:rPr>
          <w:szCs w:val="22"/>
        </w:rPr>
        <w:fldChar w:fldCharType="end"/>
      </w:r>
    </w:p>
    <w:p w14:paraId="526BC988" w14:textId="77777777" w:rsidR="002B3DE4" w:rsidRPr="00A4199C" w:rsidRDefault="002B3DE4" w:rsidP="00A20AFF">
      <w:pPr>
        <w:pStyle w:val="IUCrheading1"/>
        <w:numPr>
          <w:ilvl w:val="0"/>
          <w:numId w:val="0"/>
        </w:numPr>
        <w:rPr>
          <w:rStyle w:val="IUCrsanstextgreysmall"/>
          <w:rFonts w:ascii="Times New Roman" w:hAnsi="Times New Roman"/>
          <w:color w:val="auto"/>
          <w:sz w:val="22"/>
        </w:rPr>
      </w:pPr>
    </w:p>
    <w:sectPr w:rsidR="002B3DE4" w:rsidRPr="00A4199C" w:rsidSect="00EF3A28">
      <w:headerReference w:type="default" r:id="rId18"/>
      <w:footerReference w:type="default" r:id="rId19"/>
      <w:headerReference w:type="first" r:id="rId20"/>
      <w:footerReference w:type="first" r:id="rId21"/>
      <w:pgSz w:w="11906" w:h="16838"/>
      <w:pgMar w:top="1440" w:right="1440" w:bottom="1440" w:left="1440" w:header="708" w:footer="708"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7F52B2" w14:textId="77777777" w:rsidR="002918A4" w:rsidRDefault="002918A4" w:rsidP="00FA4D40">
      <w:pPr>
        <w:spacing w:line="240" w:lineRule="auto"/>
      </w:pPr>
      <w:r>
        <w:separator/>
      </w:r>
    </w:p>
  </w:endnote>
  <w:endnote w:type="continuationSeparator" w:id="0">
    <w:p w14:paraId="4A59C598" w14:textId="77777777" w:rsidR="002918A4" w:rsidRDefault="002918A4" w:rsidP="00FA4D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05B0C" w14:textId="77777777" w:rsidR="002918A4" w:rsidRDefault="002918A4">
    <w:pPr>
      <w:pStyle w:val="Footer"/>
      <w:jc w:val="right"/>
    </w:pPr>
    <w:r>
      <w:fldChar w:fldCharType="begin"/>
    </w:r>
    <w:r>
      <w:instrText xml:space="preserve"> PAGE   \* MERGEFORMAT </w:instrText>
    </w:r>
    <w:r>
      <w:fldChar w:fldCharType="separate"/>
    </w:r>
    <w:r>
      <w:rPr>
        <w:noProof/>
      </w:rPr>
      <w:t>2</w:t>
    </w:r>
    <w:r>
      <w:fldChar w:fldCharType="end"/>
    </w:r>
  </w:p>
  <w:p w14:paraId="23F1A11F" w14:textId="77777777" w:rsidR="002918A4" w:rsidRDefault="002918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24590"/>
      <w:docPartObj>
        <w:docPartGallery w:val="Page Numbers (Bottom of Page)"/>
        <w:docPartUnique/>
      </w:docPartObj>
    </w:sdtPr>
    <w:sdtContent>
      <w:p w14:paraId="500F4B71" w14:textId="77777777" w:rsidR="002918A4" w:rsidRDefault="002918A4" w:rsidP="00A8790A">
        <w:pPr>
          <w:pStyle w:val="Footer"/>
          <w:pBdr>
            <w:top w:val="single" w:sz="4" w:space="2" w:color="404040" w:themeColor="text1" w:themeTint="BF"/>
            <w:left w:val="single" w:sz="4" w:space="4" w:color="404040" w:themeColor="text1" w:themeTint="BF"/>
            <w:bottom w:val="single" w:sz="4" w:space="2" w:color="404040" w:themeColor="text1" w:themeTint="BF"/>
            <w:right w:val="single" w:sz="4" w:space="4" w:color="404040" w:themeColor="text1" w:themeTint="BF"/>
          </w:pBdr>
          <w:shd w:val="clear" w:color="auto" w:fill="D9D9D9" w:themeFill="background1" w:themeFillShade="D9"/>
          <w:tabs>
            <w:tab w:val="left" w:pos="142"/>
          </w:tabs>
          <w:spacing w:line="240" w:lineRule="auto"/>
        </w:pPr>
        <w:r w:rsidRPr="00A8790A">
          <w:rPr>
            <w:rStyle w:val="IUCrsanstextgreysmall"/>
            <w:color w:val="404040" w:themeColor="text1" w:themeTint="BF"/>
          </w:rPr>
          <w:t xml:space="preserve">IMPORTANT: this document contains embedded data - to preserve data integrity, please ensure where possible that the </w:t>
        </w:r>
        <w:proofErr w:type="spellStart"/>
        <w:r w:rsidRPr="00A8790A">
          <w:rPr>
            <w:rStyle w:val="IUCrsanstextgreysmall"/>
            <w:color w:val="404040" w:themeColor="text1" w:themeTint="BF"/>
          </w:rPr>
          <w:t>IUCr</w:t>
        </w:r>
        <w:proofErr w:type="spellEnd"/>
        <w:r w:rsidRPr="00A8790A">
          <w:rPr>
            <w:rStyle w:val="IUCrsanstextgreysmall"/>
            <w:color w:val="404040" w:themeColor="text1" w:themeTint="BF"/>
          </w:rPr>
          <w:t xml:space="preserve"> Word tools (available from http://journals.iucr.org/services/docxtemplate/) are installed when editing this document.</w:t>
        </w:r>
        <w:r>
          <w:tab/>
        </w:r>
        <w:r>
          <w:tab/>
        </w:r>
        <w:r>
          <w:fldChar w:fldCharType="begin"/>
        </w:r>
        <w:r>
          <w:instrText xml:space="preserve"> PAGE   \* MERGEFORMAT </w:instrText>
        </w:r>
        <w:r>
          <w:fldChar w:fldCharType="separate"/>
        </w:r>
        <w:r>
          <w:rPr>
            <w:noProof/>
          </w:rPr>
          <w:t>1</w:t>
        </w:r>
        <w:r>
          <w:rPr>
            <w:noProof/>
          </w:rPr>
          <w:fldChar w:fldCharType="end"/>
        </w:r>
      </w:p>
    </w:sdtContent>
  </w:sdt>
  <w:p w14:paraId="75CE1E4A" w14:textId="77777777" w:rsidR="002918A4" w:rsidRDefault="002918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403D27" w14:textId="77777777" w:rsidR="002918A4" w:rsidRDefault="002918A4" w:rsidP="00FA4D40">
      <w:pPr>
        <w:spacing w:line="240" w:lineRule="auto"/>
      </w:pPr>
      <w:r>
        <w:separator/>
      </w:r>
    </w:p>
  </w:footnote>
  <w:footnote w:type="continuationSeparator" w:id="0">
    <w:p w14:paraId="784D407B" w14:textId="77777777" w:rsidR="002918A4" w:rsidRDefault="002918A4" w:rsidP="00FA4D4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77C5F" w14:textId="303F7882" w:rsidR="002918A4" w:rsidRDefault="002918A4">
    <w:pPr>
      <w:pStyle w:val="IUCrsansparagraph"/>
      <w:pBdr>
        <w:bottom w:val="single" w:sz="4" w:space="1" w:color="auto"/>
      </w:pBdr>
      <w:tabs>
        <w:tab w:val="right" w:pos="9026"/>
      </w:tabs>
    </w:pPr>
    <w:r>
      <w:rPr>
        <w:rFonts w:eastAsia="MS Gothic"/>
      </w:rPr>
      <w:fldChar w:fldCharType="begin"/>
    </w:r>
    <w:r>
      <w:rPr>
        <w:rFonts w:eastAsia="MS Gothic"/>
      </w:rPr>
      <w:instrText xml:space="preserve"> DOCVARIABLE  iucrjournal  \* MERGEFORMAT </w:instrText>
    </w:r>
    <w:r>
      <w:rPr>
        <w:rFonts w:eastAsia="MS Gothic"/>
      </w:rPr>
      <w:fldChar w:fldCharType="separate"/>
    </w:r>
    <w:r>
      <w:rPr>
        <w:rFonts w:eastAsia="MS Gothic"/>
      </w:rPr>
      <w:t>Journal of Synchrotron Radiation</w:t>
    </w:r>
    <w:r>
      <w:rPr>
        <w:rFonts w:eastAsia="MS Gothic"/>
      </w:rPr>
      <w:fldChar w:fldCharType="end"/>
    </w:r>
    <w:r>
      <w:rPr>
        <w:rFonts w:eastAsia="MS Gothic"/>
      </w:rPr>
      <w:tab/>
    </w:r>
    <w:r>
      <w:rPr>
        <w:rFonts w:eastAsia="MS Gothic"/>
      </w:rPr>
      <w:fldChar w:fldCharType="begin"/>
    </w:r>
    <w:r>
      <w:rPr>
        <w:rFonts w:eastAsia="MS Gothic"/>
      </w:rPr>
      <w:instrText xml:space="preserve"> DOCVARIABLE  iucrfield  \* MERGEFORMAT </w:instrText>
    </w:r>
    <w:r>
      <w:rPr>
        <w:rFonts w:eastAsia="MS Gothic"/>
      </w:rPr>
      <w:fldChar w:fldCharType="separate"/>
    </w:r>
    <w:r>
      <w:rPr>
        <w:rFonts w:eastAsia="MS Gothic"/>
      </w:rPr>
      <w:t xml:space="preserve"> </w:t>
    </w:r>
    <w:r>
      <w:rPr>
        <w:rFonts w:eastAsia="MS Gothic"/>
      </w:rPr>
      <w:fldChar w:fldCharType="end"/>
    </w:r>
    <w:r>
      <w:rPr>
        <w:rFonts w:eastAsia="MS Gothic"/>
      </w:rPr>
      <w:t xml:space="preserve">  </w:t>
    </w:r>
    <w:r>
      <w:rPr>
        <w:rFonts w:eastAsia="MS Gothic"/>
      </w:rPr>
      <w:fldChar w:fldCharType="begin"/>
    </w:r>
    <w:r>
      <w:rPr>
        <w:rFonts w:eastAsia="MS Gothic"/>
      </w:rPr>
      <w:instrText xml:space="preserve"> DOCVARIABLE  iucrcategory  \* MERGEFORMAT </w:instrText>
    </w:r>
    <w:r>
      <w:rPr>
        <w:rFonts w:eastAsia="MS Gothic"/>
      </w:rPr>
      <w:fldChar w:fldCharType="separate"/>
    </w:r>
    <w:r>
      <w:rPr>
        <w:rFonts w:eastAsia="MS Gothic"/>
      </w:rPr>
      <w:t>research papers</w:t>
    </w:r>
    <w:r>
      <w:rPr>
        <w:rFonts w:eastAsia="MS Gothic"/>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89E38" w14:textId="59DEFE61" w:rsidR="002918A4" w:rsidRPr="0046424E" w:rsidRDefault="002918A4" w:rsidP="0046424E">
    <w:pPr>
      <w:pStyle w:val="IUCrsansparagraph"/>
      <w:pBdr>
        <w:bottom w:val="single" w:sz="4" w:space="1" w:color="auto"/>
      </w:pBdr>
      <w:tabs>
        <w:tab w:val="right" w:pos="9026"/>
      </w:tabs>
    </w:pPr>
    <w:r>
      <w:rPr>
        <w:rFonts w:eastAsia="MS Gothic"/>
      </w:rPr>
      <w:fldChar w:fldCharType="begin"/>
    </w:r>
    <w:r>
      <w:rPr>
        <w:rFonts w:eastAsia="MS Gothic"/>
      </w:rPr>
      <w:instrText xml:space="preserve"> DOCVARIABLE  iucrjournal  \* MERGEFORMAT </w:instrText>
    </w:r>
    <w:r>
      <w:rPr>
        <w:rFonts w:eastAsia="MS Gothic"/>
      </w:rPr>
      <w:fldChar w:fldCharType="separate"/>
    </w:r>
    <w:r>
      <w:rPr>
        <w:rFonts w:eastAsia="MS Gothic"/>
      </w:rPr>
      <w:t>Journal of Synchrotron Radiation</w:t>
    </w:r>
    <w:r>
      <w:rPr>
        <w:rFonts w:eastAsia="MS Gothic"/>
      </w:rPr>
      <w:fldChar w:fldCharType="end"/>
    </w:r>
    <w:r>
      <w:rPr>
        <w:rFonts w:eastAsia="MS Gothic"/>
      </w:rPr>
      <w:tab/>
    </w:r>
    <w:r>
      <w:rPr>
        <w:rFonts w:eastAsia="MS Gothic"/>
      </w:rPr>
      <w:fldChar w:fldCharType="begin"/>
    </w:r>
    <w:r>
      <w:rPr>
        <w:rFonts w:eastAsia="MS Gothic"/>
      </w:rPr>
      <w:instrText xml:space="preserve"> DOCVARIABLE  iucrfield  \* MERGEFORMAT </w:instrText>
    </w:r>
    <w:r>
      <w:rPr>
        <w:rFonts w:eastAsia="MS Gothic"/>
      </w:rPr>
      <w:fldChar w:fldCharType="separate"/>
    </w:r>
    <w:r>
      <w:rPr>
        <w:rFonts w:eastAsia="MS Gothic"/>
      </w:rPr>
      <w:t xml:space="preserve"> </w:t>
    </w:r>
    <w:r>
      <w:rPr>
        <w:rFonts w:eastAsia="MS Gothic"/>
      </w:rPr>
      <w:fldChar w:fldCharType="end"/>
    </w:r>
    <w:r>
      <w:rPr>
        <w:rFonts w:eastAsia="MS Gothic"/>
      </w:rPr>
      <w:t xml:space="preserve">  </w:t>
    </w:r>
    <w:r>
      <w:rPr>
        <w:rFonts w:eastAsia="MS Gothic"/>
      </w:rPr>
      <w:fldChar w:fldCharType="begin"/>
    </w:r>
    <w:r>
      <w:rPr>
        <w:rFonts w:eastAsia="MS Gothic"/>
      </w:rPr>
      <w:instrText xml:space="preserve"> DOCVARIABLE  iucrcategory  \* MERGEFORMAT </w:instrText>
    </w:r>
    <w:r>
      <w:rPr>
        <w:rFonts w:eastAsia="MS Gothic"/>
      </w:rPr>
      <w:fldChar w:fldCharType="separate"/>
    </w:r>
    <w:r>
      <w:rPr>
        <w:rFonts w:eastAsia="MS Gothic"/>
      </w:rPr>
      <w:t>research papers</w:t>
    </w:r>
    <w:r>
      <w:rPr>
        <w:rFonts w:eastAsia="MS Gothic"/>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91AE390"/>
    <w:lvl w:ilvl="0">
      <w:start w:val="1"/>
      <w:numFmt w:val="decimal"/>
      <w:pStyle w:val="IUCrheading1"/>
      <w:suff w:val="space"/>
      <w:lvlText w:val="%1."/>
      <w:lvlJc w:val="left"/>
      <w:rPr>
        <w:rFonts w:hint="default"/>
      </w:rPr>
    </w:lvl>
    <w:lvl w:ilvl="1">
      <w:start w:val="1"/>
      <w:numFmt w:val="decimal"/>
      <w:pStyle w:val="IUCrheading2"/>
      <w:suff w:val="space"/>
      <w:lvlText w:val="%1.%2."/>
      <w:lvlJc w:val="left"/>
      <w:rPr>
        <w:rFonts w:hint="default"/>
      </w:rPr>
    </w:lvl>
    <w:lvl w:ilvl="2">
      <w:start w:val="1"/>
      <w:numFmt w:val="decimal"/>
      <w:pStyle w:val="IUCrheading3"/>
      <w:suff w:val="space"/>
      <w:lvlText w:val="%1.%2.%3."/>
      <w:lvlJc w:val="left"/>
      <w:rPr>
        <w:rFonts w:hint="default"/>
      </w:rPr>
    </w:lvl>
    <w:lvl w:ilvl="3">
      <w:start w:val="1"/>
      <w:numFmt w:val="decimal"/>
      <w:lvlText w:val="%1.%2.%3.%4"/>
      <w:lvlJc w:val="left"/>
      <w:pPr>
        <w:tabs>
          <w:tab w:val="num" w:pos="0"/>
        </w:tabs>
      </w:pPr>
      <w:rPr>
        <w:rFonts w:hint="default"/>
      </w:rPr>
    </w:lvl>
    <w:lvl w:ilvl="4">
      <w:start w:val="1"/>
      <w:numFmt w:val="decimal"/>
      <w:lvlText w:val="%1.%2.%3.%4.%5"/>
      <w:lvlJc w:val="left"/>
      <w:pPr>
        <w:tabs>
          <w:tab w:val="num" w:pos="0"/>
        </w:tabs>
      </w:pPr>
      <w:rPr>
        <w:rFonts w:hint="default"/>
      </w:rPr>
    </w:lvl>
    <w:lvl w:ilvl="5">
      <w:start w:val="1"/>
      <w:numFmt w:val="decimal"/>
      <w:lvlText w:val="%1.%2.%3.%4.%5.%6"/>
      <w:lvlJc w:val="left"/>
      <w:pPr>
        <w:tabs>
          <w:tab w:val="num" w:pos="0"/>
        </w:tabs>
      </w:pPr>
      <w:rPr>
        <w:rFonts w:hint="default"/>
      </w:rPr>
    </w:lvl>
    <w:lvl w:ilvl="6">
      <w:start w:val="1"/>
      <w:numFmt w:val="decimal"/>
      <w:lvlText w:val="%1.%2.%3.%4.%5.%6.%7"/>
      <w:lvlJc w:val="left"/>
      <w:pPr>
        <w:tabs>
          <w:tab w:val="num" w:pos="0"/>
        </w:tabs>
      </w:pPr>
      <w:rPr>
        <w:rFonts w:hint="default"/>
      </w:rPr>
    </w:lvl>
    <w:lvl w:ilvl="7">
      <w:start w:val="1"/>
      <w:numFmt w:val="decimal"/>
      <w:lvlText w:val="%1.%2.%3.%4.%5.%6.%7.%8"/>
      <w:lvlJc w:val="left"/>
      <w:pPr>
        <w:tabs>
          <w:tab w:val="num" w:pos="0"/>
        </w:tabs>
      </w:pPr>
      <w:rPr>
        <w:rFonts w:hint="default"/>
      </w:rPr>
    </w:lvl>
    <w:lvl w:ilvl="8">
      <w:start w:val="1"/>
      <w:numFmt w:val="decimal"/>
      <w:lvlText w:val="%1.%2.%3.%4.%5.%6.%7.%8.%9"/>
      <w:lvlJc w:val="left"/>
      <w:pPr>
        <w:tabs>
          <w:tab w:val="num" w:pos="0"/>
        </w:tabs>
      </w:pPr>
      <w:rPr>
        <w:rFonts w:hint="default"/>
      </w:rPr>
    </w:lvl>
  </w:abstractNum>
  <w:abstractNum w:abstractNumId="1" w15:restartNumberingAfterBreak="0">
    <w:nsid w:val="01BC31E4"/>
    <w:multiLevelType w:val="singleLevel"/>
    <w:tmpl w:val="A6DCF4D4"/>
    <w:lvl w:ilvl="0">
      <w:start w:val="1"/>
      <w:numFmt w:val="none"/>
      <w:pStyle w:val="IUCrabstract"/>
      <w:lvlText w:val="Abstract"/>
      <w:lvlJc w:val="left"/>
      <w:pPr>
        <w:tabs>
          <w:tab w:val="num" w:pos="1080"/>
        </w:tabs>
      </w:pPr>
      <w:rPr>
        <w:rFonts w:ascii="Arial" w:hAnsi="Arial" w:cs="Arial" w:hint="default"/>
        <w:b/>
        <w:i w:val="0"/>
        <w:sz w:val="20"/>
        <w:szCs w:val="20"/>
      </w:rPr>
    </w:lvl>
  </w:abstractNum>
  <w:abstractNum w:abstractNumId="2" w15:restartNumberingAfterBreak="0">
    <w:nsid w:val="0E2C60B4"/>
    <w:multiLevelType w:val="multilevel"/>
    <w:tmpl w:val="298EADA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2DD598B"/>
    <w:multiLevelType w:val="singleLevel"/>
    <w:tmpl w:val="9BA20912"/>
    <w:lvl w:ilvl="0">
      <w:start w:val="1"/>
      <w:numFmt w:val="decimal"/>
      <w:pStyle w:val="IUCrfigurecaption"/>
      <w:lvlText w:val="Figure %1"/>
      <w:lvlJc w:val="left"/>
      <w:pPr>
        <w:tabs>
          <w:tab w:val="num" w:pos="1440"/>
        </w:tabs>
      </w:pPr>
      <w:rPr>
        <w:rFonts w:ascii="Arial" w:hAnsi="Arial" w:cs="Arial" w:hint="default"/>
        <w:b/>
        <w:i w:val="0"/>
        <w:strike w:val="0"/>
        <w:color w:val="000000" w:themeColor="text1"/>
      </w:rPr>
    </w:lvl>
  </w:abstractNum>
  <w:abstractNum w:abstractNumId="4" w15:restartNumberingAfterBreak="0">
    <w:nsid w:val="13111DF6"/>
    <w:multiLevelType w:val="singleLevel"/>
    <w:tmpl w:val="860CF8B2"/>
    <w:lvl w:ilvl="0">
      <w:start w:val="1"/>
      <w:numFmt w:val="none"/>
      <w:pStyle w:val="IUCrsynopsis"/>
      <w:lvlText w:val="Synopsis"/>
      <w:lvlJc w:val="left"/>
      <w:pPr>
        <w:tabs>
          <w:tab w:val="num" w:pos="1080"/>
        </w:tabs>
        <w:ind w:left="0" w:firstLine="0"/>
      </w:pPr>
      <w:rPr>
        <w:rFonts w:ascii="Arial" w:hAnsi="Arial" w:cs="Times New Roman" w:hint="default"/>
        <w:b/>
        <w:i w:val="0"/>
        <w:sz w:val="20"/>
      </w:rPr>
    </w:lvl>
  </w:abstractNum>
  <w:abstractNum w:abstractNumId="5" w15:restartNumberingAfterBreak="0">
    <w:nsid w:val="15A803CA"/>
    <w:multiLevelType w:val="hybridMultilevel"/>
    <w:tmpl w:val="0C929AB0"/>
    <w:lvl w:ilvl="0" w:tplc="D55E1406">
      <w:start w:val="1"/>
      <w:numFmt w:val="decimal"/>
      <w:pStyle w:val="IUCrsupfigurecaption"/>
      <w:lvlText w:val="Figure S%1"/>
      <w:lvlJc w:val="left"/>
      <w:pPr>
        <w:ind w:left="0" w:firstLine="0"/>
      </w:pPr>
      <w:rPr>
        <w:rFonts w:ascii="Arial" w:hAnsi="Arial" w:cs="Arial"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0139FA"/>
    <w:multiLevelType w:val="hybridMultilevel"/>
    <w:tmpl w:val="A00EE6F6"/>
    <w:lvl w:ilvl="0" w:tplc="C502625A">
      <w:start w:val="1"/>
      <w:numFmt w:val="decimal"/>
      <w:pStyle w:val="IUCrsuptablecaption"/>
      <w:lvlText w:val="Table S%1"/>
      <w:lvlJc w:val="left"/>
      <w:pPr>
        <w:ind w:left="0" w:firstLine="0"/>
      </w:pPr>
      <w:rPr>
        <w:rFonts w:ascii="Arial" w:hAnsi="Arial" w:cs="Times New Roman"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CA34ECA"/>
    <w:multiLevelType w:val="multilevel"/>
    <w:tmpl w:val="64F2F17C"/>
    <w:styleLink w:val="IUCrsup"/>
    <w:lvl w:ilvl="0">
      <w:start w:val="1"/>
      <w:numFmt w:val="decimal"/>
      <w:pStyle w:val="IUCrsupheading1"/>
      <w:suff w:val="space"/>
      <w:lvlText w:val="S%1."/>
      <w:lvlJc w:val="left"/>
      <w:pPr>
        <w:ind w:left="0" w:firstLine="0"/>
      </w:pPr>
      <w:rPr>
        <w:rFonts w:hint="default"/>
      </w:rPr>
    </w:lvl>
    <w:lvl w:ilvl="1">
      <w:start w:val="1"/>
      <w:numFmt w:val="decimal"/>
      <w:pStyle w:val="IUCrsupheading2"/>
      <w:suff w:val="space"/>
      <w:lvlText w:val="S%1.%2."/>
      <w:lvlJc w:val="left"/>
      <w:pPr>
        <w:ind w:left="0" w:firstLine="0"/>
      </w:pPr>
      <w:rPr>
        <w:rFonts w:hint="default"/>
      </w:rPr>
    </w:lvl>
    <w:lvl w:ilvl="2">
      <w:start w:val="1"/>
      <w:numFmt w:val="decimal"/>
      <w:pStyle w:val="IUCrsupheading3"/>
      <w:suff w:val="space"/>
      <w:lvlText w:val="S%1.%2.%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5A1B1813"/>
    <w:multiLevelType w:val="multilevel"/>
    <w:tmpl w:val="64F2F17C"/>
    <w:numStyleLink w:val="IUCrsup"/>
  </w:abstractNum>
  <w:abstractNum w:abstractNumId="9" w15:restartNumberingAfterBreak="0">
    <w:nsid w:val="5A8A3C3E"/>
    <w:multiLevelType w:val="multilevel"/>
    <w:tmpl w:val="966429A2"/>
    <w:lvl w:ilvl="0">
      <w:start w:val="1"/>
      <w:numFmt w:val="upperLetter"/>
      <w:pStyle w:val="IUCrappendixheading1"/>
      <w:suff w:val="space"/>
      <w:lvlText w:val="Appendix %1."/>
      <w:lvlJc w:val="left"/>
      <w:rPr>
        <w:rFonts w:hint="default"/>
      </w:rPr>
    </w:lvl>
    <w:lvl w:ilvl="1">
      <w:start w:val="1"/>
      <w:numFmt w:val="decimal"/>
      <w:pStyle w:val="IUCrappendixheading2"/>
      <w:suff w:val="space"/>
      <w:lvlText w:val="%1%2."/>
      <w:lvlJc w:val="left"/>
      <w:rPr>
        <w:rFonts w:hint="default"/>
      </w:rPr>
    </w:lvl>
    <w:lvl w:ilvl="2">
      <w:start w:val="1"/>
      <w:numFmt w:val="decimal"/>
      <w:pStyle w:val="IUCrappendixheading3"/>
      <w:suff w:val="space"/>
      <w:lvlText w:val="%1%2.%3."/>
      <w:lvlJc w:val="left"/>
      <w:rPr>
        <w:rFonts w:hint="default"/>
      </w:rPr>
    </w:lvl>
    <w:lvl w:ilvl="3">
      <w:start w:val="1"/>
      <w:numFmt w:val="decimal"/>
      <w:lvlText w:val="%1.%2.%3.%4"/>
      <w:lvlJc w:val="left"/>
      <w:pPr>
        <w:tabs>
          <w:tab w:val="num" w:pos="720"/>
        </w:tabs>
      </w:pPr>
      <w:rPr>
        <w:rFonts w:hint="default"/>
      </w:rPr>
    </w:lvl>
    <w:lvl w:ilvl="4">
      <w:start w:val="1"/>
      <w:numFmt w:val="decimal"/>
      <w:lvlText w:val="%1.%2.%3.%4.%5"/>
      <w:lvlJc w:val="left"/>
      <w:pPr>
        <w:tabs>
          <w:tab w:val="num" w:pos="0"/>
        </w:tabs>
      </w:pPr>
      <w:rPr>
        <w:rFonts w:hint="default"/>
      </w:rPr>
    </w:lvl>
    <w:lvl w:ilvl="5">
      <w:start w:val="1"/>
      <w:numFmt w:val="decimal"/>
      <w:lvlText w:val="%1.%2.%3.%4.%5.%6"/>
      <w:lvlJc w:val="left"/>
      <w:pPr>
        <w:tabs>
          <w:tab w:val="num" w:pos="0"/>
        </w:tabs>
      </w:pPr>
      <w:rPr>
        <w:rFonts w:hint="default"/>
      </w:rPr>
    </w:lvl>
    <w:lvl w:ilvl="6">
      <w:start w:val="1"/>
      <w:numFmt w:val="decimal"/>
      <w:lvlText w:val="%1.%2.%3.%4.%5.%6.%7"/>
      <w:lvlJc w:val="left"/>
      <w:pPr>
        <w:tabs>
          <w:tab w:val="num" w:pos="0"/>
        </w:tabs>
      </w:pPr>
      <w:rPr>
        <w:rFonts w:hint="default"/>
      </w:rPr>
    </w:lvl>
    <w:lvl w:ilvl="7">
      <w:start w:val="1"/>
      <w:numFmt w:val="decimal"/>
      <w:lvlText w:val="%1.%2.%3.%4.%5.%6.%7.%8"/>
      <w:lvlJc w:val="left"/>
      <w:pPr>
        <w:tabs>
          <w:tab w:val="num" w:pos="0"/>
        </w:tabs>
      </w:pPr>
      <w:rPr>
        <w:rFonts w:hint="default"/>
      </w:rPr>
    </w:lvl>
    <w:lvl w:ilvl="8">
      <w:start w:val="1"/>
      <w:numFmt w:val="decimal"/>
      <w:lvlText w:val="%1.%2.%3.%4.%5.%6.%7.%8.%9"/>
      <w:lvlJc w:val="left"/>
      <w:pPr>
        <w:tabs>
          <w:tab w:val="num" w:pos="0"/>
        </w:tabs>
      </w:pPr>
      <w:rPr>
        <w:rFonts w:hint="default"/>
      </w:rPr>
    </w:lvl>
  </w:abstractNum>
  <w:abstractNum w:abstractNumId="10" w15:restartNumberingAfterBreak="0">
    <w:nsid w:val="610265C3"/>
    <w:multiLevelType w:val="singleLevel"/>
    <w:tmpl w:val="9956E4BC"/>
    <w:lvl w:ilvl="0">
      <w:start w:val="1"/>
      <w:numFmt w:val="none"/>
      <w:pStyle w:val="IUCrkeywords"/>
      <w:lvlText w:val="Keywords:"/>
      <w:lvlJc w:val="left"/>
      <w:pPr>
        <w:tabs>
          <w:tab w:val="num" w:pos="1440"/>
        </w:tabs>
      </w:pPr>
      <w:rPr>
        <w:rFonts w:ascii="Arial" w:hAnsi="Arial" w:cs="Arial" w:hint="default"/>
        <w:b/>
        <w:i w:val="0"/>
      </w:rPr>
    </w:lvl>
  </w:abstractNum>
  <w:abstractNum w:abstractNumId="11" w15:restartNumberingAfterBreak="0">
    <w:nsid w:val="64B3704D"/>
    <w:multiLevelType w:val="singleLevel"/>
    <w:tmpl w:val="6B58AD02"/>
    <w:lvl w:ilvl="0">
      <w:start w:val="1"/>
      <w:numFmt w:val="decimal"/>
      <w:pStyle w:val="IUCrtablecaption"/>
      <w:lvlText w:val="Table %1"/>
      <w:lvlJc w:val="left"/>
      <w:pPr>
        <w:tabs>
          <w:tab w:val="num" w:pos="1440"/>
        </w:tabs>
        <w:ind w:left="0" w:firstLine="0"/>
      </w:pPr>
      <w:rPr>
        <w:rFonts w:ascii="Arial" w:hAnsi="Arial" w:cs="Times New Roman" w:hint="default"/>
        <w:b/>
        <w:i w:val="0"/>
      </w:rPr>
    </w:lvl>
  </w:abstractNum>
  <w:abstractNum w:abstractNumId="12" w15:restartNumberingAfterBreak="0">
    <w:nsid w:val="6D506A29"/>
    <w:multiLevelType w:val="multilevel"/>
    <w:tmpl w:val="CA1C1E8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F3B75D4"/>
    <w:multiLevelType w:val="singleLevel"/>
    <w:tmpl w:val="1D3859F4"/>
    <w:lvl w:ilvl="0">
      <w:start w:val="1"/>
      <w:numFmt w:val="none"/>
      <w:pStyle w:val="IUCracknowledgements"/>
      <w:lvlText w:val="Acknowledgements"/>
      <w:lvlJc w:val="left"/>
      <w:pPr>
        <w:tabs>
          <w:tab w:val="num" w:pos="2160"/>
        </w:tabs>
      </w:pPr>
      <w:rPr>
        <w:rFonts w:ascii="Arial" w:hAnsi="Arial" w:cs="Arial" w:hint="default"/>
        <w:b/>
        <w:i w:val="0"/>
        <w:sz w:val="20"/>
        <w:szCs w:val="20"/>
      </w:rPr>
    </w:lvl>
  </w:abstractNum>
  <w:num w:numId="1">
    <w:abstractNumId w:val="1"/>
  </w:num>
  <w:num w:numId="2">
    <w:abstractNumId w:val="13"/>
  </w:num>
  <w:num w:numId="3">
    <w:abstractNumId w:val="9"/>
  </w:num>
  <w:num w:numId="4">
    <w:abstractNumId w:val="3"/>
  </w:num>
  <w:num w:numId="5">
    <w:abstractNumId w:val="0"/>
  </w:num>
  <w:num w:numId="6">
    <w:abstractNumId w:val="10"/>
  </w:num>
  <w:num w:numId="7">
    <w:abstractNumId w:val="7"/>
  </w:num>
  <w:num w:numId="8">
    <w:abstractNumId w:val="5"/>
  </w:num>
  <w:num w:numId="9">
    <w:abstractNumId w:val="8"/>
  </w:num>
  <w:num w:numId="10">
    <w:abstractNumId w:val="11"/>
  </w:num>
  <w:num w:numId="11">
    <w:abstractNumId w:val="6"/>
  </w:num>
  <w:num w:numId="12">
    <w:abstractNumId w:val="4"/>
  </w:num>
  <w:num w:numId="13">
    <w:abstractNumId w:val="1"/>
  </w:num>
  <w:num w:numId="14">
    <w:abstractNumId w:val="13"/>
  </w:num>
  <w:num w:numId="15">
    <w:abstractNumId w:val="9"/>
  </w:num>
  <w:num w:numId="16">
    <w:abstractNumId w:val="9"/>
  </w:num>
  <w:num w:numId="17">
    <w:abstractNumId w:val="9"/>
  </w:num>
  <w:num w:numId="18">
    <w:abstractNumId w:val="3"/>
  </w:num>
  <w:num w:numId="19">
    <w:abstractNumId w:val="0"/>
  </w:num>
  <w:num w:numId="20">
    <w:abstractNumId w:val="0"/>
  </w:num>
  <w:num w:numId="21">
    <w:abstractNumId w:val="0"/>
  </w:num>
  <w:num w:numId="22">
    <w:abstractNumId w:val="10"/>
  </w:num>
  <w:num w:numId="23">
    <w:abstractNumId w:val="7"/>
  </w:num>
  <w:num w:numId="24">
    <w:abstractNumId w:val="5"/>
  </w:num>
  <w:num w:numId="25">
    <w:abstractNumId w:val="8"/>
  </w:num>
  <w:num w:numId="26">
    <w:abstractNumId w:val="8"/>
  </w:num>
  <w:num w:numId="27">
    <w:abstractNumId w:val="8"/>
  </w:num>
  <w:num w:numId="28">
    <w:abstractNumId w:val="11"/>
  </w:num>
  <w:num w:numId="29">
    <w:abstractNumId w:val="6"/>
  </w:num>
  <w:num w:numId="30">
    <w:abstractNumId w:val="4"/>
  </w:num>
  <w:num w:numId="31">
    <w:abstractNumId w:val="13"/>
    <w:lvlOverride w:ilvl="0">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lvlOverride w:ilvl="0">
      <w:startOverride w:val="1"/>
    </w:lvlOverride>
  </w:num>
  <w:num w:numId="40">
    <w:abstractNumId w:val="10"/>
    <w:lvlOverride w:ilvl="0">
      <w:startOverride w:val="1"/>
    </w:lvlOverride>
  </w:num>
  <w:num w:numId="41">
    <w:abstractNumId w:val="4"/>
    <w:lvlOverride w:ilvl="0">
      <w:startOverride w:val="1"/>
    </w:lvlOverride>
  </w:num>
  <w:num w:numId="42">
    <w:abstractNumId w:val="12"/>
  </w:num>
  <w:num w:numId="43">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linkStyle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iucrauthors" w:val="&lt;iucr:publjnl xmlns:iucr=&quot;http//www.iucr.org/publjnl&quot;&gt;&lt;jnlname&gt;Journal of Synchrotron Radiation&lt;/jnlname&gt;&lt;jnlcategory&gt;research papers&lt;/jnlcategory&gt;&lt;jnlfield&gt;&lt;/jnlfield&gt;&lt;/iucr:publjnl&gt;&lt;iucr:authors xmlns:iucr=&quot;http://www.iucr.org/publauthors&quot;&gt;&lt;author&gt;&lt;order&gt;1&lt;/order&gt;&lt;iucrid&gt;&lt;/iucrid&gt;&lt;prefix&gt;Dr&lt;/prefix&gt;&lt;forename&gt;Rachel J.&lt;/forename&gt;&lt;surname&gt;Husband&lt;/surname&gt;&lt;suffix&gt;&lt;/suffix&gt;&lt;addrid&gt;0&lt;/addrid&gt;&lt;email&gt;rachel.husband@desy.de&lt;/email&gt;&lt;corrauthor&gt;y&lt;/corrauthor&gt;&lt;contactauthor&gt;&lt;/contactauthor&gt;&lt;phone&gt;&lt;/phone&gt;&lt;fax&gt;&lt;/fax&gt;&lt;note&gt;&lt;/note&gt;&lt;orcid&gt;&lt;/orcid&gt;&lt;/author&gt;&lt;author&gt;&lt;order&gt;2&lt;/order&gt;&lt;iucrid&gt;&lt;/iucrid&gt;&lt;prefix&gt;Dr&lt;/prefix&gt;&lt;forename&gt;Cornelius&lt;/forename&gt;&lt;surname&gt;Strohm&lt;/surname&gt;&lt;suffix&gt;&lt;/suffix&gt;&lt;addrid&gt;0&lt;/addrid&gt;&lt;email&gt;cornelius.strohm@desy.de&lt;/email&gt;&lt;corrauthor&gt;&lt;/corrauthor&gt;&lt;contactauthor&gt;&lt;/contactauthor&gt;&lt;phone&gt;&lt;/phone&gt;&lt;fax&gt;&lt;/fax&gt;&lt;note&gt;&lt;/note&gt;&lt;orcid&gt;&lt;/orcid&gt;&lt;/author&gt;&lt;author&gt;&lt;order&gt;3&lt;/order&gt;&lt;iucrid&gt;&lt;/iucrid&gt;&lt;prefix&gt;Dr&lt;/prefix&gt;&lt;forename&gt;Karen&lt;/forename&gt;&lt;surname&gt;Appel&lt;/surname&gt;&lt;suffix&gt;&lt;/suffix&gt;&lt;addrid&gt;1&lt;/addrid&gt;&lt;email&gt;&lt;/email&gt;&lt;corrauthor&gt;&lt;/corrauthor&gt;&lt;contactauthor&gt;&lt;/contactauthor&gt;&lt;phone&gt;&lt;/phone&gt;&lt;fax&gt;&lt;/fax&gt;&lt;note&gt;&lt;/note&gt;&lt;orcid&gt;&lt;/orcid&gt;&lt;/author&gt;&lt;author&gt;&lt;order&gt;4&lt;/order&gt;&lt;iucrid&gt;&lt;/iucrid&gt;&lt;prefix&gt;Ms&lt;/prefix&gt;&lt;forename&gt;Orianna B.&lt;/forename&gt;&lt;surname&gt;Ball&lt;/surname&gt;&lt;suffix&gt;&lt;/suffix&gt;&lt;addrid&gt;2&lt;/addrid&gt;&lt;email&gt;&lt;/email&gt;&lt;corrauthor&gt;&lt;/corrauthor&gt;&lt;contactauthor&gt;&lt;/contactauthor&gt;&lt;phone&gt;&lt;/phone&gt;&lt;fax&gt;&lt;/fax&gt;&lt;note&gt;&lt;/note&gt;&lt;orcid&gt;&lt;/orcid&gt;&lt;/author&gt;&lt;author&gt;&lt;order&gt;5&lt;/order&gt;&lt;iucrid&gt;&lt;/iucrid&gt;&lt;prefix&gt;Dr&lt;/prefix&gt;&lt;forename&gt;Richard&lt;/forename&gt;&lt;surname&gt;Briggs&lt;/surname&gt;&lt;suffix&gt;&lt;/suffix&gt;&lt;addrid&gt;3&lt;/addrid&gt;&lt;email&gt;&lt;/email&gt;&lt;corrauthor&gt;&lt;/corrauthor&gt;&lt;contactauthor&gt;&lt;/contactauthor&gt;&lt;phone&gt;&lt;/phone&gt;&lt;fax&gt;&lt;/fax&gt;&lt;note&gt;&lt;/note&gt;&lt;orcid&gt;&lt;/orcid&gt;&lt;/author&gt;&lt;author&gt;&lt;order&gt;6&lt;/order&gt;&lt;iucrid&gt;&lt;/iucrid&gt;&lt;prefix&gt;Dr&lt;/prefix&gt;&lt;forename&gt;Johannes&lt;/forename&gt;&lt;surname&gt;Buchen&lt;/surname&gt;&lt;suffix&gt;&lt;/suffix&gt;&lt;addrid&gt;4&lt;/addrid&gt;&lt;email&gt;johannes.buchen@earth.ox.ac.uk&lt;/email&gt;&lt;corrauthor&gt;&lt;/corrauthor&gt;&lt;contactauthor&gt;&lt;/contactauthor&gt;&lt;phone&gt;&lt;/phone&gt;&lt;fax&gt;&lt;/fax&gt;&lt;note&gt;&lt;/note&gt;&lt;orcid&gt;&lt;/orcid&gt;&lt;/author&gt;&lt;author&gt;&lt;order&gt;7&lt;/order&gt;&lt;iucrid&gt;&lt;/iucrid&gt;&lt;prefix&gt;Dr&lt;/prefix&gt;&lt;forename&gt;Valerio&lt;/forename&gt;&lt;surname&gt;Cerantola&lt;/surname&gt;&lt;suffix&gt;&lt;/suffix&gt;&lt;addrid&gt;1&lt;/addrid&gt;&lt;email&gt;valerio.cerantola@unimib.it&lt;/email&gt;&lt;corrauthor&gt;&lt;/corrauthor&gt;&lt;contactauthor&gt;&lt;/contactauthor&gt;&lt;phone&gt;&lt;/phone&gt;&lt;fax&gt;&lt;/fax&gt;&lt;note&gt;Current address: Department of Earth and Environmental Sciences (DISAT), University of Milano-Bicocca, Piazza della Scienza 4, 20126 Milan, Italy&lt;/note&gt;&lt;orcid&gt;&lt;/orcid&gt;&lt;/author&gt;&lt;author&gt;&lt;order&gt;8&lt;/order&gt;&lt;iucrid&gt;&lt;/iucrid&gt;&lt;prefix&gt;Dr&lt;/prefix&gt;&lt;forename&gt;Stella&lt;/forename&gt;&lt;surname&gt;Chariton&lt;/surname&gt;&lt;suffix&gt;&lt;/suffix&gt;&lt;addrid&gt;5&lt;/addrid&gt;&lt;email&gt;chariton@cars.uchicago.edu&lt;/email&gt;&lt;corrauthor&gt;&lt;/corrauthor&gt;&lt;contactauthor&gt;&lt;/contactauthor&gt;&lt;phone&gt;&lt;/phone&gt;&lt;fax&gt;&lt;/fax&gt;&lt;note&gt;&lt;/note&gt;&lt;orcid&gt;&lt;/orcid&gt;&lt;/author&gt;&lt;author&gt;&lt;order&gt;9&lt;/order&gt;&lt;iucrid&gt;&lt;/iucrid&gt;&lt;prefix&gt;Dr&lt;/prefix&gt;&lt;forename&gt;Amy L.&lt;/forename&gt;&lt;surname&gt;Coleman&lt;/surname&gt;&lt;suffix&gt;&lt;/suffix&gt;&lt;addrid&gt;3&lt;/addrid&gt;&lt;email&gt;coleman55@llnl.gov&lt;/email&gt;&lt;corrauthor&gt;&lt;/corrauthor&gt;&lt;contactauthor&gt;&lt;/contactauthor&gt;&lt;phone&gt;&lt;/phone&gt;&lt;fax&gt;&lt;/fax&gt;&lt;note&gt;&lt;/note&gt;&lt;orcid&gt;&lt;/orcid&gt;&lt;/author&gt;&lt;author&gt;&lt;order&gt;10&lt;/order&gt;&lt;iucrid&gt;&lt;/iucrid&gt;&lt;prefix&gt;&lt;/prefix&gt;&lt;forename&gt;Hyunchae&lt;/forename&gt;&lt;surname&gt;Cynn&lt;/surname&gt;&lt;suffix&gt;&lt;/suffix&gt;&lt;addrid&gt;3&lt;/addrid&gt;&lt;email&gt;cynn1@llnl.gov&lt;/email&gt;&lt;corrauthor&gt;&lt;/corrauthor&gt;&lt;contactauthor&gt;&lt;/contactauthor&gt;&lt;phone&gt;&lt;/phone&gt;&lt;fax&gt;&lt;/fax&gt;&lt;note&gt;&lt;/note&gt;&lt;orcid&gt;&lt;/orcid&gt;&lt;/author&gt;&lt;author&gt;&lt;order&gt;11&lt;/order&gt;&lt;iucrid&gt;&lt;/iucrid&gt;&lt;prefix&gt;Dr&lt;/prefix&gt;&lt;forename&gt;Dana&lt;/forename&gt;&lt;surname&gt;Dattelbaum&lt;/surname&gt;&lt;suffix&gt;&lt;/suffix&gt;&lt;addrid&gt;6&lt;/addrid&gt;&lt;email&gt;danadat@lanl.gov&lt;/email&gt;&lt;corrauthor&gt;&lt;/corrauthor&gt;&lt;contactauthor&gt;&lt;/contactauthor&gt;&lt;phone&gt;&lt;/phone&gt;&lt;fax&gt;&lt;/fax&gt;&lt;note&gt;&lt;/note&gt;&lt;orcid&gt;&lt;/orcid&gt;&lt;/author&gt;&lt;author&gt;&lt;order&gt;12&lt;/order&gt;&lt;iucrid&gt;&lt;/iucrid&gt;&lt;prefix&gt;Mr&lt;/prefix&gt;&lt;forename&gt;Anand&lt;/forename&gt;&lt;surname&gt;Dwivedi&lt;/surname&gt;&lt;suffix&gt;&lt;/suffix&gt;&lt;addrid&gt;1&lt;/addrid&gt;&lt;email&gt;anand.dwivedi@xfel.eu&lt;/email&gt;&lt;corrauthor&gt;&lt;/corrauthor&gt;&lt;contactauthor&gt;&lt;/contactauthor&gt;&lt;phone&gt;&lt;/phone&gt;&lt;fax&gt;&lt;/fax&gt;&lt;note&gt;&lt;/note&gt;&lt;orcid&gt;&lt;/orcid&gt;&lt;/author&gt;&lt;author&gt;&lt;order&gt;13&lt;/order&gt;&lt;iucrid&gt;&lt;/iucrid&gt;&lt;prefix&gt;Dr&lt;/prefix&gt;&lt;forename&gt;Jon H.&lt;/forename&gt;&lt;surname&gt;Eggert&lt;/surname&gt;&lt;suffix&gt;&lt;/suffix&gt;&lt;addrid&gt;3&lt;/addrid&gt;&lt;email&gt;eggert1@llnl.gov&lt;/email&gt;&lt;corrauthor&gt;&lt;/corrauthor&gt;&lt;contactauthor&gt;&lt;/contactauthor&gt;&lt;phone&gt;&lt;/phone&gt;&lt;fax&gt;&lt;/fax&gt;&lt;note&gt;&lt;/note&gt;&lt;orcid&gt;&lt;/orcid&gt;&lt;/author&gt;&lt;author&gt;&lt;order&gt;14&lt;/order&gt;&lt;iucrid&gt;&lt;/iucrid&gt;&lt;prefix&gt;Dr&lt;/prefix&gt;&lt;forename&gt;Lars&lt;/forename&gt;&lt;surname&gt;Ehm&lt;/surname&gt;&lt;suffix&gt;&lt;/suffix&gt;&lt;addrid&gt;7&lt;/addrid&gt;&lt;email&gt;lars.ehm@stonybrook.edu&lt;/email&gt;&lt;corrauthor&gt;&lt;/corrauthor&gt;&lt;contactauthor&gt;&lt;/contactauthor&gt;&lt;phone&gt;&lt;/phone&gt;&lt;fax&gt;&lt;/fax&gt;&lt;note&gt;&lt;/note&gt;&lt;orcid&gt;&lt;/orcid&gt;&lt;/author&gt;&lt;author&gt;&lt;order&gt;15&lt;/order&gt;&lt;iucrid&gt;&lt;/iucrid&gt;&lt;prefix&gt;Dr&lt;/prefix&gt;&lt;forename&gt;William J.&lt;/forename&gt;&lt;surname&gt;Evans&lt;/surname&gt;&lt;suffix&gt;&lt;/suffix&gt;&lt;addrid&gt;3&lt;/addrid&gt;&lt;email&gt;evans31@llnl.gov&lt;/email&gt;&lt;corrauthor&gt;&lt;/corrauthor&gt;&lt;contactauthor&gt;&lt;/contactauthor&gt;&lt;phone&gt;&lt;/phone&gt;&lt;fax&gt;&lt;/fax&gt;&lt;note&gt;&lt;/note&gt;&lt;orcid&gt;&lt;/orcid&gt;&lt;/author&gt;&lt;author&gt;&lt;order&gt;16&lt;/order&gt;&lt;iucrid&gt;&lt;/iucrid&gt;&lt;prefix&gt;Dr&lt;/prefix&gt;&lt;forename&gt;Konstantin&lt;/forename&gt;&lt;surname&gt;Glazyrin&lt;/surname&gt;&lt;suffix&gt;&lt;/suffix&gt;&lt;addrid&gt;0&lt;/addrid&gt;&lt;email&gt;konstantin.glazyrin@desy.de&lt;/email&gt;&lt;corrauthor&gt;&lt;/corrauthor&gt;&lt;contactauthor&gt;&lt;/contactauthor&gt;&lt;phone&gt;&lt;/phone&gt;&lt;fax&gt;&lt;/fax&gt;&lt;note&gt;&lt;/note&gt;&lt;orcid&gt;&lt;/orcid&gt;&lt;/author&gt;&lt;author&gt;&lt;order&gt;17&lt;/order&gt;&lt;iucrid&gt;&lt;/iucrid&gt;&lt;prefix&gt;Dr&lt;/prefix&gt;&lt;forename&gt;Alexander F.&lt;/forename&gt;&lt;surname&gt;Goncharov&lt;/surname&gt;&lt;suffix&gt;&lt;/suffix&gt;&lt;addrid&gt;8&lt;/addrid&gt;&lt;email&gt;agoncharov@carnegiescience.edu&lt;/email&gt;&lt;corrauthor&gt;&lt;/corrauthor&gt;&lt;contactauthor&gt;&lt;/contactauthor&gt;&lt;phone&gt;&lt;/phone&gt;&lt;fax&gt;&lt;/fax&gt;&lt;note&gt;&lt;/note&gt;&lt;orcid&gt;&lt;/orcid&gt;&lt;/author&gt;&lt;author&gt;&lt;order&gt;18&lt;/order&gt;&lt;iucrid&gt;&lt;/iucrid&gt;&lt;prefix&gt;Dr&lt;/prefix&gt;&lt;forename&gt;Heinz&lt;/forename&gt;&lt;surname&gt;Graafsma&lt;/surname&gt;&lt;suffix&gt;&lt;/suffix&gt;&lt;addrid&gt;0&lt;/addrid&gt;&lt;email&gt;heinz.graafsma@desy.de&lt;/email&gt;&lt;corrauthor&gt;&lt;/corrauthor&gt;&lt;contactauthor&gt;&lt;/contactauthor&gt;&lt;phone&gt;&lt;/phone&gt;&lt;fax&gt;&lt;/fax&gt;&lt;note&gt;&lt;/note&gt;&lt;orcid&gt;&lt;/orcid&gt;&lt;/author&gt;&lt;author&gt;&lt;order&gt;19&lt;/order&gt;&lt;iucrid&gt;&lt;/iucrid&gt;&lt;prefix&gt;Mr&lt;/prefix&gt;&lt;forename&gt;Alex&lt;/forename&gt;&lt;surname&gt;Howard&lt;/surname&gt;&lt;suffix&gt;&lt;/suffix&gt;&lt;addrid&gt;9&lt;/addrid&gt;&lt;email&gt;alex.howard@wsu.edu&lt;/email&gt;&lt;corrauthor&gt;&lt;/corrauthor&gt;&lt;contactauthor&gt;&lt;/contactauthor&gt;&lt;phone&gt;&lt;/phone&gt;&lt;fax&gt;&lt;/fax&gt;&lt;note&gt;&lt;/note&gt;&lt;orcid&gt;&lt;/orcid&gt;&lt;/author&gt;&lt;author&gt;&lt;order&gt;20&lt;/order&gt;&lt;iucrid&gt;&lt;/iucrid&gt;&lt;prefix&gt;Dr&lt;/prefix&gt;&lt;forename&gt;Larissa&lt;/forename&gt;&lt;surname&gt;Huston&lt;/surname&gt;&lt;suffix&gt;&lt;/suffix&gt;&lt;addrid&gt;6&lt;/addrid&gt;&lt;email&gt;lqhuston@gmail.com&lt;/email&gt;&lt;corrauthor&gt;&lt;/corrauthor&gt;&lt;contactauthor&gt;&lt;/contactauthor&gt;&lt;phone&gt;&lt;/phone&gt;&lt;fax&gt;&lt;/fax&gt;&lt;note&gt;&lt;/note&gt;&lt;orcid&gt;&lt;/orcid&gt;&lt;/author&gt;&lt;author&gt;&lt;order&gt;21&lt;/order&gt;&lt;iucrid&gt;&lt;/iucrid&gt;&lt;prefix&gt;Dr&lt;/prefix&gt;&lt;forename&gt;Trevor&lt;/forename&gt;&lt;surname&gt;Hutchinson&lt;/surname&gt;&lt;suffix&gt;&lt;/suffix&gt;&lt;addrid&gt;3&lt;/addrid&gt;&lt;email&gt;&lt;/email&gt;&lt;corrauthor&gt;&lt;/corrauthor&gt;&lt;contactauthor&gt;&lt;/contactauthor&gt;&lt;phone&gt;&lt;/phone&gt;&lt;fax&gt;&lt;/fax&gt;&lt;note&gt;&lt;/note&gt;&lt;orcid&gt;&lt;/orcid&gt;&lt;/author&gt;&lt;author&gt;&lt;order&gt;22&lt;/order&gt;&lt;iucrid&gt;&lt;/iucrid&gt;&lt;prefix&gt;Dr&lt;/prefix&gt;&lt;forename&gt;Huijeong&lt;/forename&gt;&lt;surname&gt;Hwang&lt;/surname&gt;&lt;suffix&gt;&lt;/suffix&gt;&lt;addrid&gt;0&lt;/addrid&gt;&lt;email&gt;huijeonghwang@gist.ac.kr&lt;/email&gt;&lt;corrauthor&gt;&lt;/corrauthor&gt;&lt;contactauthor&gt;&lt;/contactauthor&gt;&lt;phone&gt;&lt;/phone&gt;&lt;fax&gt;&lt;/fax&gt;&lt;note&gt;Current address: School of Earth Sciences and Environmental Engineering, Gwangju Institute of Science and Technology, 123 Cheomdan-Gwagiro, Gwangju 61005, Republic of Korea&lt;/note&gt;&lt;orcid&gt;&lt;/orcid&gt;&lt;/author&gt;&lt;author&gt;&lt;order&gt;23&lt;/order&gt;&lt;iucrid&gt;&lt;/iucrid&gt;&lt;prefix&gt;Mr&lt;/prefix&gt;&lt;forename&gt;Sony&lt;/forename&gt;&lt;surname&gt;Jacob&lt;/surname&gt;&lt;suffix&gt;&lt;/suffix&gt;&lt;addrid&gt;3&lt;/addrid&gt;&lt;email&gt;Jacob9@llnl.gov&lt;/email&gt;&lt;corrauthor&gt;&lt;/corrauthor&gt;&lt;contactauthor&gt;&lt;/contactauthor&gt;&lt;phone&gt;&lt;/phone&gt;&lt;fax&gt;&lt;/fax&gt;&lt;note&gt;&lt;/note&gt;&lt;orcid&gt;&lt;/orcid&gt;&lt;/author&gt;&lt;author&gt;&lt;order&gt;24&lt;/order&gt;&lt;iucrid&gt;&lt;/iucrid&gt;&lt;prefix&gt;Mr&lt;/prefix&gt;&lt;forename&gt;Johannes&lt;/forename&gt;&lt;surname&gt;Kaa&lt;/surname&gt;&lt;suffix&gt;&lt;/suffix&gt;&lt;addrid&gt;10&lt;/addrid&gt;&lt;addrid&gt;1&lt;/addrid&gt;&lt;email&gt;johannes.kaa@xfel.eu&lt;/email&gt;&lt;corrauthor&gt;&lt;/corrauthor&gt;&lt;contactauthor&gt;&lt;/contactauthor&gt;&lt;phone&gt;&lt;/phone&gt;&lt;fax&gt;&lt;/fax&gt;&lt;note&gt;&lt;/note&gt;&lt;orcid&gt;&lt;/orcid&gt;&lt;/author&gt;&lt;author&gt;&lt;order&gt;25&lt;/order&gt;&lt;iucrid&gt;&lt;/iucrid&gt;&lt;prefix&gt;&lt;/prefix&gt;&lt;forename&gt;Jaeyong&lt;/forename&gt;&lt;surname&gt;Kim&lt;/surname&gt;&lt;suffix&gt;&lt;/suffix&gt;&lt;addrid&gt;11&lt;/addrid&gt;&lt;email&gt;kimjy@hanyang.ac.kr&lt;/email&gt;&lt;corrauthor&gt;&lt;/corrauthor&gt;&lt;contactauthor&gt;&lt;/contactauthor&gt;&lt;phone&gt;&lt;/phone&gt;&lt;fax&gt;&lt;/fax&gt;&lt;note&gt;&lt;/note&gt;&lt;orcid&gt;&lt;/orcid&gt;&lt;/author&gt;&lt;author&gt;&lt;order&gt;26&lt;/order&gt;&lt;iucrid&gt;&lt;/iucrid&gt;&lt;prefix&gt;Dr&lt;/prefix&gt;&lt;forename&gt;Minseob&lt;/forename&gt;&lt;surname&gt;Kim&lt;/surname&gt;&lt;suffix&gt;&lt;/suffix&gt;&lt;addrid&gt;9&lt;/addrid&gt;&lt;email&gt;m_kim@wsu.edu&lt;/email&gt;&lt;corrauthor&gt;&lt;/corrauthor&gt;&lt;contactauthor&gt;&lt;/contactauthor&gt;&lt;phone&gt;&lt;/phone&gt;&lt;fax&gt;&lt;/fax&gt;&lt;note&gt;&lt;/note&gt;&lt;orcid&gt;&lt;/orcid&gt;&lt;/author&gt;&lt;author&gt;&lt;order&gt;27&lt;/order&gt;&lt;iucrid&gt;&lt;/iucrid&gt;&lt;prefix&gt;&lt;/prefix&gt;&lt;forename&gt;Egor&lt;/forename&gt;&lt;surname&gt;Koemets&lt;/surname&gt;&lt;suffix&gt;&lt;/suffix&gt;&lt;addrid&gt;4&lt;/addrid&gt;&lt;email&gt;egor.koemets@earth.ox.ac.uk&lt;/email&gt;&lt;corrauthor&gt;&lt;/corrauthor&gt;&lt;contactauthor&gt;&lt;/contactauthor&gt;&lt;phone&gt;&lt;/phone&gt;&lt;fax&gt;&lt;/fax&gt;&lt;note&gt;&lt;/note&gt;&lt;orcid&gt;&lt;/orcid&gt;&lt;/author&gt;&lt;author&gt;&lt;order&gt;28&lt;/order&gt;&lt;iucrid&gt;&lt;/iucrid&gt;&lt;prefix&gt;Dr&lt;/prefix&gt;&lt;forename&gt;Zuzana&lt;/forename&gt;&lt;surname&gt;Kon&amp;#244;pkov&amp;#225;&lt;/surname&gt;&lt;suffix&gt;&lt;/suffix&gt;&lt;addrid&gt;1&lt;/addrid&gt;&lt;email&gt;zuzana.konopkova@xfel.eu&lt;/email&gt;&lt;corrauthor&gt;&lt;/corrauthor&gt;&lt;contactauthor&gt;&lt;/contactauthor&gt;&lt;phone&gt;&lt;/phone&gt;&lt;fax&gt;&lt;/fax&gt;&lt;note&gt;&lt;/note&gt;&lt;orcid&gt;&lt;/orcid&gt;&lt;/author&gt;&lt;author&gt;&lt;order&gt;29&lt;/order&gt;&lt;iucrid&gt;&lt;/iucrid&gt;&lt;prefix&gt;Professor&lt;/prefix&gt;&lt;forename&gt;Falko&lt;/forename&gt;&lt;surname&gt;Langenhorst&lt;/surname&gt;&lt;suffix&gt;&lt;/suffix&gt;&lt;addrid&gt;12&lt;/addrid&gt;&lt;email&gt;falko.langenhorst@uni-jena.de&lt;/email&gt;&lt;corrauthor&gt;&lt;/corrauthor&gt;&lt;contactauthor&gt;&lt;/contactauthor&gt;&lt;phone&gt;&lt;/phone&gt;&lt;fax&gt;&lt;/fax&gt;&lt;note&gt;&lt;/note&gt;&lt;orcid&gt;&lt;/orcid&gt;&lt;/author&gt;&lt;author&gt;&lt;order&gt;30&lt;/order&gt;&lt;iucrid&gt;&lt;/iucrid&gt;&lt;prefix&gt;Dr&lt;/prefix&gt;&lt;forename&gt;Torsten&lt;/forename&gt;&lt;surname&gt;Laurus&lt;/surname&gt;&lt;suffix&gt;&lt;/suffix&gt;&lt;addrid&gt;0&lt;/addrid&gt;&lt;email&gt;torsten.laurus@desy.de&lt;/email&gt;&lt;corrauthor&gt;&lt;/corrauthor&gt;&lt;contactauthor&gt;&lt;/contactauthor&gt;&lt;phone&gt;&lt;/phone&gt;&lt;fax&gt;&lt;/fax&gt;&lt;note&gt;&lt;/note&gt;&lt;orcid&gt;&lt;/orcid&gt;&lt;/author&gt;&lt;author&gt;&lt;order&gt;31&lt;/order&gt;&lt;iucrid&gt;&lt;/iucrid&gt;&lt;prefix&gt;Dr&lt;/prefix&gt;&lt;forename&gt;Xinyang&lt;/forename&gt;&lt;surname&gt;Li&lt;/surname&gt;&lt;suffix&gt;&lt;/suffix&gt;&lt;addrid&gt;0&lt;/addrid&gt;&lt;email&gt;lixinyang@jlu.edu.cn&lt;/email&gt;&lt;corrauthor&gt;&lt;/corrauthor&gt;&lt;contactauthor&gt;&lt;/contactauthor&gt;&lt;phone&gt;&lt;/phone&gt;&lt;fax&gt;&lt;/fax&gt;&lt;note&gt;Current address: College of physics, State Key Laboratory of Superhard Materials, Jilin University, Changchun 130012, China&lt;/note&gt;&lt;orcid&gt;&lt;/orcid&gt;&lt;/author&gt;&lt;author&gt;&lt;order&gt;32&lt;/order&gt;&lt;iucrid&gt;&lt;/iucrid&gt;&lt;prefix&gt;Mr&lt;/prefix&gt;&lt;forename&gt;Jona&lt;/forename&gt;&lt;surname&gt;Mainberger&lt;/surname&gt;&lt;suffix&gt;&lt;/suffix&gt;&lt;addrid&gt;0&lt;/addrid&gt;&lt;email&gt;jona.mainberger@desy.de&lt;/email&gt;&lt;corrauthor&gt;&lt;/corrauthor&gt;&lt;contactauthor&gt;&lt;/contactauthor&gt;&lt;phone&gt;&lt;/phone&gt;&lt;fax&gt;&lt;/fax&gt;&lt;note&gt;&lt;/note&gt;&lt;orcid&gt;&lt;/orcid&gt;&lt;/author&gt;&lt;author&gt;&lt;order&gt;33&lt;/order&gt;&lt;iucrid&gt;&lt;/iucrid&gt;&lt;prefix&gt;Dr&lt;/prefix&gt;&lt;forename&gt;Hauke&lt;/forename&gt;&lt;surname&gt;Marquardt&lt;/surname&gt;&lt;suffix&gt;&lt;/suffix&gt;&lt;addrid&gt;4&lt;/addrid&gt;&lt;email&gt;hauke.marquardt@earth.ox.ac.uk&lt;/email&gt;&lt;corrauthor&gt;&lt;/corrauthor&gt;&lt;contactauthor&gt;&lt;/contactauthor&gt;&lt;phone&gt;&lt;/phone&gt;&lt;fax&gt;&lt;/fax&gt;&lt;note&gt;&lt;/note&gt;&lt;orcid&gt;&lt;/orcid&gt;&lt;/author&gt;&lt;author&gt;&lt;order&gt;34&lt;/order&gt;&lt;iucrid&gt;&lt;/iucrid&gt;&lt;prefix&gt;Dr&lt;/prefix&gt;&lt;forename&gt;Emma E.&lt;/forename&gt;&lt;surname&gt;McBride&lt;/surname&gt;&lt;suffix&gt;&lt;/suffix&gt;&lt;addrid&gt;13&lt;/addrid&gt;&lt;email&gt;e.mcbride@qub.ac.uk&lt;/email&gt;&lt;corrauthor&gt;&lt;/corrauthor&gt;&lt;contactauthor&gt;&lt;/contactauthor&gt;&lt;phone&gt;&lt;/phone&gt;&lt;fax&gt;&lt;/fax&gt;&lt;note&gt;Current address: Queen's University Belfast, School of Mathematics and Physics, University Road, Belfast BT7 1NN, UK&lt;/note&gt;&lt;orcid&gt;&lt;/orcid&gt;&lt;/author&gt;&lt;author&gt;&lt;order&gt;35&lt;/order&gt;&lt;iucrid&gt;&lt;/iucrid&gt;&lt;prefix&gt;Dr&lt;/prefix&gt;&lt;forename&gt;Christopher&lt;/forename&gt;&lt;surname&gt;McGuire&lt;/surname&gt;&lt;suffix&gt;&lt;/suffix&gt;&lt;addrid&gt;3&lt;/addrid&gt;&lt;email&gt;mcguire24@llnl.gov&lt;/email&gt;&lt;corrauthor&gt;&lt;/corrauthor&gt;&lt;contactauthor&gt;&lt;/contactauthor&gt;&lt;phone&gt;&lt;/phone&gt;&lt;fax&gt;&lt;/fax&gt;&lt;note&gt;&lt;/note&gt;&lt;orcid&gt;&lt;/orcid&gt;&lt;/author&gt;&lt;author&gt;&lt;order&gt;36&lt;/order&gt;&lt;iucrid&gt;&lt;/iucrid&gt;&lt;prefix&gt;Mr&lt;/prefix&gt;&lt;forename&gt;James D.&lt;/forename&gt;&lt;surname&gt;McHardy&lt;/surname&gt;&lt;suffix&gt;&lt;/suffix&gt;&lt;addrid&gt;2&lt;/addrid&gt;&lt;email&gt;J.D.McHardy@ed.ac.uk&lt;/email&gt;&lt;corrauthor&gt;&lt;/corrauthor&gt;&lt;contactauthor&gt;&lt;/contactauthor&gt;&lt;phone&gt;&lt;/phone&gt;&lt;fax&gt;&lt;/fax&gt;&lt;note&gt;&lt;/note&gt;&lt;orcid&gt;&lt;/orcid&gt;&lt;/author&gt;&lt;author&gt;&lt;order&gt;37&lt;/order&gt;&lt;iucrid&gt;&lt;/iucrid&gt;&lt;prefix&gt;Professor&lt;/prefix&gt;&lt;forename&gt;Malcolm I.&lt;/forename&gt;&lt;surname&gt;McMahon&lt;/surname&gt;&lt;suffix&gt;&lt;/suffix&gt;&lt;addrid&gt;2&lt;/addrid&gt;&lt;email&gt;M.I.McMahon@ed.ac.uk&lt;/email&gt;&lt;corrauthor&gt;&lt;/corrauthor&gt;&lt;contactauthor&gt;&lt;/contactauthor&gt;&lt;phone&gt;&lt;/phone&gt;&lt;fax&gt;&lt;/fax&gt;&lt;note&gt;&lt;/note&gt;&lt;orcid&gt;&lt;/orcid&gt;&lt;/author&gt;&lt;author&gt;&lt;order&gt;38&lt;/order&gt;&lt;iucrid&gt;&lt;/iucrid&gt;&lt;prefix&gt;Dr&lt;/prefix&gt;&lt;forename&gt;R. Stewart&lt;/forename&gt;&lt;surname&gt;McWilliams&lt;/surname&gt;&lt;suffix&gt;&lt;/suffix&gt;&lt;addrid&gt;2&lt;/addrid&gt;&lt;email&gt;rs.mcwilliams@ed.ac.uk&lt;/email&gt;&lt;corrauthor&gt;&lt;/corrauthor&gt;&lt;contactauthor&gt;&lt;/contactauthor&gt;&lt;phone&gt;&lt;/phone&gt;&lt;fax&gt;&lt;/fax&gt;&lt;note&gt;&lt;/note&gt;&lt;orcid&gt;&lt;/orcid&gt;&lt;/author&gt;&lt;author&gt;&lt;order&gt;39&lt;/order&gt;&lt;iucrid&gt;&lt;/iucrid&gt;&lt;prefix&gt;Dr&lt;/prefix&gt;&lt;forename&gt;Alba S. J.&lt;/forename&gt;&lt;surname&gt;M&amp;#233;ndez&lt;/surname&gt;&lt;suffix&gt;&lt;/suffix&gt;&lt;addrid&gt;0&lt;/addrid&gt;&lt;email&gt;alba.mendez@desy.de&lt;/email&gt;&lt;corrauthor&gt;&lt;/corrauthor&gt;&lt;contactauthor&gt;&lt;/contactauthor&gt;&lt;phone&gt;&lt;/phone&gt;&lt;fax&gt;&lt;/fax&gt;&lt;note&gt;&lt;/note&gt;&lt;orcid&gt;&lt;/orcid&gt;&lt;/author&gt;&lt;author&gt;&lt;order&gt;40&lt;/order&gt;&lt;iucrid&gt;&lt;/iucrid&gt;&lt;prefix&gt;Mr&lt;/prefix&gt;&lt;forename&gt;Anshuman&lt;/forename&gt;&lt;surname&gt;Mondal&lt;/surname&gt;&lt;suffix&gt;&lt;/suffix&gt;&lt;addrid&gt;14&lt;/addrid&gt;&lt;email&gt;anshuman.mondal@desy.de&lt;/email&gt;&lt;corrauthor&gt;&lt;/corrauthor&gt;&lt;contactauthor&gt;&lt;/contactauthor&gt;&lt;phone&gt;&lt;/phone&gt;&lt;fax&gt;&lt;/fax&gt;&lt;note&gt;&lt;/note&gt;&lt;orcid&gt;&lt;/orcid&gt;&lt;/author&gt;&lt;author&gt;&lt;order&gt;41&lt;/order&gt;&lt;iucrid&gt;&lt;/iucrid&gt;&lt;prefix&gt;Dr&lt;/prefix&gt;&lt;forename&gt;Guillaume&lt;/forename&gt;&lt;surname&gt;Morard&lt;/surname&gt;&lt;suffix&gt;&lt;/suffix&gt;&lt;addrid&gt;15&lt;/addrid&gt;&lt;email&gt;Guillaume.Morard@univ-grenoble-alpes.fr&lt;/email&gt;&lt;corrauthor&gt;&lt;/corrauthor&gt;&lt;contactauthor&gt;&lt;/contactauthor&gt;&lt;phone&gt;&lt;/phone&gt;&lt;fax&gt;&lt;/fax&gt;&lt;note&gt;&lt;/note&gt;&lt;orcid&gt;&lt;/orcid&gt;&lt;/author&gt;&lt;author&gt;&lt;order&gt;42&lt;/order&gt;&lt;iucrid&gt;&lt;/iucrid&gt;&lt;prefix&gt;Dr&lt;/prefix&gt;&lt;forename&gt;Earl F.&lt;/forename&gt;&lt;surname&gt;O'Bannon&lt;/surname&gt;&lt;suffix&gt;&lt;/suffix&gt;&lt;addrid&gt;3&lt;/addrid&gt;&lt;email&gt;obannon2@llnl.gov&lt;/email&gt;&lt;corrauthor&gt;&lt;/corrauthor&gt;&lt;contactauthor&gt;&lt;/contactauthor&gt;&lt;phone&gt;&lt;/phone&gt;&lt;fax&gt;&lt;/fax&gt;&lt;note&gt;&lt;/note&gt;&lt;orcid&gt;&lt;/orcid&gt;&lt;/author&gt;&lt;author&gt;&lt;order&gt;43&lt;/order&gt;&lt;iucrid&gt;&lt;/iucrid&gt;&lt;prefix&gt;Mr&lt;/prefix&gt;&lt;forename&gt;Christoph&lt;/forename&gt;&lt;surname&gt;Otzen&lt;/surname&gt;&lt;suffix&gt;&lt;/suffix&gt;&lt;addrid&gt;12&lt;/addrid&gt;&lt;email&gt;christoph.otzen@uni-jena.de&lt;/email&gt;&lt;corrauthor&gt;&lt;/corrauthor&gt;&lt;contactauthor&gt;&lt;/contactauthor&gt;&lt;phone&gt;&lt;/phone&gt;&lt;fax&gt;&lt;/fax&gt;&lt;note&gt;&lt;/note&gt;&lt;orcid&gt;&lt;/orcid&gt;&lt;/author&gt;&lt;author&gt;&lt;order&gt;44&lt;/order&gt;&lt;iucrid&gt;&lt;/iucrid&gt;&lt;prefix&gt;Dr&lt;/prefix&gt;&lt;forename&gt;Charles M.&lt;/forename&gt;&lt;surname&gt;P&amp;#233;pin&lt;/surname&gt;&lt;suffix&gt;&lt;/suffix&gt;&lt;addrid&gt;16&lt;/addrid&gt;&lt;email&gt;charles.pepin@cea.fr&lt;/email&gt;&lt;corrauthor&gt;&lt;/corrauthor&gt;&lt;contactauthor&gt;&lt;/contactauthor&gt;&lt;phone&gt;&lt;/phone&gt;&lt;fax&gt;&lt;/fax&gt;&lt;note&gt;&lt;/note&gt;&lt;orcid&gt;&lt;/orcid&gt;&lt;/author&gt;&lt;author&gt;&lt;order&gt;45&lt;/order&gt;&lt;iucrid&gt;&lt;/iucrid&gt;&lt;prefix&gt;Dr&lt;/prefix&gt;&lt;forename&gt;Vitali B.&lt;/forename&gt;&lt;surname&gt;Prakapenka&lt;/surname&gt;&lt;suffix&gt;&lt;/suffix&gt;&lt;addrid&gt;5&lt;/addrid&gt;&lt;email&gt;prakapenka@cars.uchicago.edu&lt;/email&gt;&lt;corrauthor&gt;&lt;/corrauthor&gt;&lt;contactauthor&gt;&lt;/contactauthor&gt;&lt;phone&gt;&lt;/phone&gt;&lt;fax&gt;&lt;/fax&gt;&lt;note&gt;&lt;/note&gt;&lt;orcid&gt;&lt;/orcid&gt;&lt;/author&gt;&lt;author&gt;&lt;order&gt;46&lt;/order&gt;&lt;iucrid&gt;&lt;/iucrid&gt;&lt;prefix&gt;Professor&lt;/prefix&gt;&lt;forename&gt;Clemens&lt;/forename&gt;&lt;surname&gt;Prescher&lt;/surname&gt;&lt;suffix&gt;&lt;/suffix&gt;&lt;addrid&gt;17&lt;/addrid&gt;&lt;email&gt;clemens.prescher@geomat.uni-freiburg.de&lt;/email&gt;&lt;corrauthor&gt;&lt;/corrauthor&gt;&lt;contactauthor&gt;&lt;/contactauthor&gt;&lt;phone&gt;&lt;/phone&gt;&lt;fax&gt;&lt;/fax&gt;&lt;note&gt;&lt;/note&gt;&lt;orcid&gt;&lt;/orcid&gt;&lt;/author&gt;&lt;author&gt;&lt;order&gt;47&lt;/order&gt;&lt;iucrid&gt;&lt;/iucrid&gt;&lt;prefix&gt;Dr&lt;/prefix&gt;&lt;forename&gt;Thomas R.&lt;/forename&gt;&lt;surname&gt;Preston&lt;/surname&gt;&lt;suffix&gt;&lt;/suffix&gt;&lt;addrid&gt;1&lt;/addrid&gt;&lt;email&gt;thomas.preston@xfel.eu&lt;/email&gt;&lt;corrauthor&gt;&lt;/corrauthor&gt;&lt;contactauthor&gt;&lt;/contactauthor&gt;&lt;phone&gt;&lt;/phone&gt;&lt;fax&gt;&lt;/fax&gt;&lt;note&gt;&lt;/note&gt;&lt;orcid&gt;&lt;/orcid&gt;&lt;/author&gt;&lt;author&gt;&lt;order&gt;48&lt;/order&gt;&lt;iucrid&gt;&lt;/iucrid&gt;&lt;prefix&gt;Professor&lt;/prefix&gt;&lt;forename&gt;Ronald&lt;/forename&gt;&lt;surname&gt;Redmer&lt;/surname&gt;&lt;suffix&gt;&lt;/suffix&gt;&lt;addrid&gt;18&lt;/addrid&gt;&lt;email&gt;ronald.redmer@uni-rostock.de&lt;/email&gt;&lt;corrauthor&gt;&lt;/corrauthor&gt;&lt;contactauthor&gt;&lt;/contactauthor&gt;&lt;phone&gt;&lt;/phone&gt;&lt;fax&gt;&lt;/fax&gt;&lt;note&gt;&lt;/note&gt;&lt;orcid&gt;&lt;/orcid&gt;&lt;/author&gt;&lt;author&gt;&lt;order&gt;49&lt;/order&gt;&lt;iucrid&gt;&lt;/iucrid&gt;&lt;prefix&gt;Mr&lt;/prefix&gt;&lt;forename&gt;Michael&lt;/forename&gt;&lt;surname&gt;Roeper&lt;/surname&gt;&lt;suffix&gt;&lt;/suffix&gt;&lt;addrid&gt;0&lt;/addrid&gt;&lt;email&gt;michael.roeper@desy.de&lt;/email&gt;&lt;corrauthor&gt;&lt;/corrauthor&gt;&lt;contactauthor&gt;&lt;/contactauthor&gt;&lt;phone&gt;&lt;/phone&gt;&lt;fax&gt;&lt;/fax&gt;&lt;note&gt;&lt;/note&gt;&lt;orcid&gt;&lt;/orcid&gt;&lt;/author&gt;&lt;author&gt;&lt;order&gt;50&lt;/order&gt;&lt;iucrid&gt;&lt;/iucrid&gt;&lt;prefix&gt;Professor&lt;/prefix&gt;&lt;forename&gt;Carmen&lt;/forename&gt;&lt;surname&gt;Sanchez-Valle&lt;/surname&gt;&lt;suffix&gt;&lt;/suffix&gt;&lt;addrid&gt;14&lt;/addrid&gt;&lt;email&gt;sanchezm@uni-muenster.de&lt;/email&gt;&lt;corrauthor&gt;&lt;/corrauthor&gt;&lt;contactauthor&gt;&lt;/contactauthor&gt;&lt;phone&gt;&lt;/phone&gt;&lt;fax&gt;&lt;/fax&gt;&lt;note&gt;&lt;/note&gt;&lt;orcid&gt;&lt;/orcid&gt;&lt;/author&gt;&lt;author&gt;&lt;order&gt;51&lt;/order&gt;&lt;iucrid&gt;&lt;/iucrid&gt;&lt;prefix&gt;Dr&lt;/prefix&gt;&lt;forename&gt;Dean&lt;/forename&gt;&lt;surname&gt;Smith&lt;/surname&gt;&lt;suffix&gt;&lt;/suffix&gt;&lt;addrid&gt;19&lt;/addrid&gt;&lt;email&gt;dean.smith@unlv.edu&lt;/email&gt;&lt;corrauthor&gt;&lt;/corrauthor&gt;&lt;contactauthor&gt;&lt;/contactauthor&gt;&lt;phone&gt;&lt;/phone&gt;&lt;fax&gt;&lt;/fax&gt;&lt;note&gt;Current address: University of Nevada, Las Vegas, Nevada Extreme Conditions Laboratory, 4505 S. Maryland Pkwy, Las Vegas, Nevada 89154, USA&lt;/note&gt;&lt;orcid&gt;&lt;/orcid&gt;&lt;/author&gt;&lt;author&gt;&lt;order&gt;52&lt;/order&gt;&lt;iucrid&gt;&lt;/iucrid&gt;&lt;prefix&gt;Dr&lt;/prefix&gt;&lt;forename&gt;Raymond F.&lt;/forename&gt;&lt;surname&gt;Smith&lt;/surname&gt;&lt;suffix&gt;&lt;/suffix&gt;&lt;addrid&gt;3&lt;/addrid&gt;&lt;email&gt;smith248@llnl.gov&lt;/email&gt;&lt;corrauthor&gt;&lt;/corrauthor&gt;&lt;contactauthor&gt;&lt;/contactauthor&gt;&lt;phone&gt;&lt;/phone&gt;&lt;fax&gt;&lt;/fax&gt;&lt;note&gt;&lt;/note&gt;&lt;orcid&gt;&lt;/orcid&gt;&lt;/author&gt;&lt;author&gt;&lt;order&gt;53&lt;/order&gt;&lt;iucrid&gt;&lt;/iucrid&gt;&lt;prefix&gt;Dr&lt;/prefix&gt;&lt;forename&gt;Daniel&lt;/forename&gt;&lt;surname&gt;Sneed&lt;/surname&gt;&lt;suffix&gt;&lt;/suffix&gt;&lt;addrid&gt;3&lt;/addrid&gt;&lt;email&gt;Sneed2@llnl.gov&lt;/email&gt;&lt;corrauthor&gt;&lt;/corrauthor&gt;&lt;contactauthor&gt;&lt;/contactauthor&gt;&lt;phone&gt;&lt;/phone&gt;&lt;fax&gt;&lt;/fax&gt;&lt;note&gt;&lt;/note&gt;&lt;orcid&gt;&lt;/orcid&gt;&lt;/author&gt;&lt;author&gt;&lt;order&gt;54&lt;/order&gt;&lt;iucrid&gt;&lt;/iucrid&gt;&lt;prefix&gt;Dr&lt;/prefix&gt;&lt;forename&gt;Sergio&lt;/forename&gt;&lt;surname&gt;Speziale&lt;/surname&gt;&lt;suffix&gt;&lt;/suffix&gt;&lt;addrid&gt;20&lt;/addrid&gt;&lt;email&gt;sergio.speziale@gfz-potsdam.de&lt;/email&gt;&lt;corrauthor&gt;&lt;/corrauthor&gt;&lt;contactauthor&gt;&lt;/contactauthor&gt;&lt;phone&gt;&lt;/phone&gt;&lt;fax&gt;&lt;/fax&gt;&lt;note&gt;&lt;/note&gt;&lt;orcid&gt;&lt;/orcid&gt;&lt;/author&gt;&lt;author&gt;&lt;order&gt;55&lt;/order&gt;&lt;iucrid&gt;&lt;/iucrid&gt;&lt;prefix&gt;Mr&lt;/prefix&gt;&lt;forename&gt;Tobias&lt;/forename&gt;&lt;surname&gt;Spitzbart&lt;/surname&gt;&lt;suffix&gt;&lt;/suffix&gt;&lt;addrid&gt;0&lt;/addrid&gt;&lt;email&gt;tobias.spitzbart@desy.de&lt;/email&gt;&lt;corrauthor&gt;&lt;/corrauthor&gt;&lt;contactauthor&gt;&lt;/contactauthor&gt;&lt;phone&gt;&lt;/phone&gt;&lt;fax&gt;&lt;/fax&gt;&lt;note&gt;&lt;/note&gt;&lt;orcid&gt;&lt;/orcid&gt;&lt;/author&gt;&lt;author&gt;&lt;order&gt;56&lt;/order&gt;&lt;iucrid&gt;&lt;/iucrid&gt;&lt;prefix&gt;Dr&lt;/prefix&gt;&lt;forename&gt;Stephan&lt;/forename&gt;&lt;surname&gt;Stern&lt;/surname&gt;&lt;suffix&gt;&lt;/suffix&gt;&lt;addrid&gt;0&lt;/addrid&gt;&lt;email&gt;stephan.stern@x-spectrum.de&lt;/email&gt;&lt;corrauthor&gt;&lt;/corrauthor&gt;&lt;contactauthor&gt;&lt;/contactauthor&gt;&lt;phone&gt;&lt;/phone&gt;&lt;fax&gt;&lt;/fax&gt;&lt;note&gt;Current address: X-Spectrum GmbH, Luruper Hauptstra&amp;#223;e 1, 22547 Hamburg, Germany&lt;/note&gt;&lt;orcid&gt;&lt;/orcid&gt;&lt;/author&gt;&lt;author&gt;&lt;order&gt;57&lt;/order&gt;&lt;iucrid&gt;&lt;/iucrid&gt;&lt;prefix&gt;Dr&lt;/prefix&gt;&lt;forename&gt;Blake T.&lt;/forename&gt;&lt;surname&gt;Sturtevant&lt;/surname&gt;&lt;suffix&gt;&lt;/suffix&gt;&lt;addrid&gt;6&lt;/addrid&gt;&lt;email&gt;bsturtev@lanl.gov&lt;/email&gt;&lt;corrauthor&gt;&lt;/corrauthor&gt;&lt;contactauthor&gt;&lt;/contactauthor&gt;&lt;phone&gt;&lt;/phone&gt;&lt;fax&gt;&lt;/fax&gt;&lt;note&gt;&lt;/note&gt;&lt;orcid&gt;&lt;/orcid&gt;&lt;/author&gt;&lt;author&gt;&lt;order&gt;58&lt;/order&gt;&lt;iucrid&gt;&lt;/iucrid&gt;&lt;prefix&gt;Dr&lt;/prefix&gt;&lt;forename&gt;Jolanta&lt;/forename&gt;&lt;surname&gt;Sztuk-Dambietz&lt;/surname&gt;&lt;suffix&gt;&lt;/suffix&gt;&lt;addrid&gt;1&lt;/addrid&gt;&lt;email&gt;jolanta.sztuk@xfel.eu&lt;/email&gt;&lt;corrauthor&gt;&lt;/corrauthor&gt;&lt;contactauthor&gt;&lt;/contactauthor&gt;&lt;phone&gt;&lt;/phone&gt;&lt;fax&gt;&lt;/fax&gt;&lt;note&gt;&lt;/note&gt;&lt;orcid&gt;&lt;/orcid&gt;&lt;/author&gt;&lt;author&gt;&lt;order&gt;59&lt;/order&gt;&lt;iucrid&gt;&lt;/iucrid&gt;&lt;prefix&gt;Mr&lt;/prefix&gt;&lt;forename&gt;Peter&lt;/forename&gt;&lt;surname&gt;Talkovski&lt;/surname&gt;&lt;suffix&gt;&lt;/suffix&gt;&lt;addrid&gt;0&lt;/addrid&gt;&lt;email&gt;peter.talkovski@desy.de&lt;/email&gt;&lt;corrauthor&gt;&lt;/corrauthor&gt;&lt;contactauthor&gt;&lt;/contactauthor&gt;&lt;phone&gt;&lt;/phone&gt;&lt;fax&gt;&lt;/fax&gt;&lt;note&gt;&lt;/note&gt;&lt;orcid&gt;&lt;/orcid&gt;&lt;/author&gt;&lt;author&gt;&lt;order&gt;60&lt;/order&gt;&lt;iucrid&gt;&lt;/iucrid&gt;&lt;prefix&gt;Dr&lt;/prefix&gt;&lt;forename&gt;Nenad&lt;/forename&gt;&lt;surname&gt;Velisavljevic&lt;/surname&gt;&lt;suffix&gt;&lt;/suffix&gt;&lt;addrid&gt;3&lt;/addrid&gt;&lt;email&gt;velisavljevi1@llnl.gov&lt;/email&gt;&lt;corrauthor&gt;&lt;/corrauthor&gt;&lt;contactauthor&gt;&lt;/contactauthor&gt;&lt;phone&gt;&lt;/phone&gt;&lt;fax&gt;&lt;/fax&gt;&lt;note&gt;&lt;/note&gt;&lt;orcid&gt;&lt;/orcid&gt;&lt;/author&gt;&lt;author&gt;&lt;order&gt;61&lt;/order&gt;&lt;iucrid&gt;&lt;/iucrid&gt;&lt;prefix&gt;Dr&lt;/prefix&gt;&lt;forename&gt;Cara&lt;/forename&gt;&lt;surname&gt;Vennari&lt;/surname&gt;&lt;suffix&gt;&lt;/suffix&gt;&lt;addrid&gt;3&lt;/addrid&gt;&lt;email&gt;vennari1@llnl.gov&lt;/email&gt;&lt;corrauthor&gt;&lt;/corrauthor&gt;&lt;contactauthor&gt;&lt;/contactauthor&gt;&lt;phone&gt;&lt;/phone&gt;&lt;fax&gt;&lt;/fax&gt;&lt;note&gt;&lt;/note&gt;&lt;orcid&gt;&lt;/orcid&gt;&lt;/author&gt;&lt;author&gt;&lt;order&gt;62&lt;/order&gt;&lt;iucrid&gt;&lt;/iucrid&gt;&lt;prefix&gt;Dr&lt;/prefix&gt;&lt;forename&gt;Zhongyan&lt;/forename&gt;&lt;surname&gt;Wu&lt;/surname&gt;&lt;suffix&gt;&lt;/suffix&gt;&lt;addrid&gt;11&lt;/addrid&gt;&lt;email&gt;wuzhongyan@hanyang.ac.kr&lt;/email&gt;&lt;corrauthor&gt;&lt;/corrauthor&gt;&lt;contactauthor&gt;&lt;/contactauthor&gt;&lt;phone&gt;&lt;/phone&gt;&lt;fax&gt;&lt;/fax&gt;&lt;note&gt;&lt;/note&gt;&lt;orcid&gt;&lt;/orcid&gt;&lt;/author&gt;&lt;author&gt;&lt;order&gt;63&lt;/order&gt;&lt;iucrid&gt;&lt;/iucrid&gt;&lt;prefix&gt;Professor&lt;/prefix&gt;&lt;forename&gt;Choong-Shik&lt;/forename&gt;&lt;surname&gt;Yoo&lt;/surname&gt;&lt;suffix&gt;&lt;/suffix&gt;&lt;addrid&gt;9&lt;/addrid&gt;&lt;email&gt;csyoo@wsu.edu&lt;/email&gt;&lt;corrauthor&gt;&lt;/corrauthor&gt;&lt;contactauthor&gt;&lt;/contactauthor&gt;&lt;phone&gt;&lt;/phone&gt;&lt;fax&gt;&lt;/fax&gt;&lt;note&gt;&lt;/note&gt;&lt;orcid&gt;&lt;/orcid&gt;&lt;/author&gt;&lt;author&gt;&lt;order&gt;64&lt;/order&gt;&lt;iucrid&gt;&lt;/iucrid&gt;&lt;prefix&gt;Dr&lt;/prefix&gt;&lt;forename&gt;Ulf&lt;/forename&gt;&lt;surname&gt;Zastrau&lt;/surname&gt;&lt;suffix&gt;&lt;/suffix&gt;&lt;addrid&gt;1&lt;/addrid&gt;&lt;email&gt;ulf.zastrau@xfel.eu&lt;/email&gt;&lt;corrauthor&gt;&lt;/corrauthor&gt;&lt;contactauthor&gt;&lt;/contactauthor&gt;&lt;phone&gt;&lt;/phone&gt;&lt;fax&gt;&lt;/fax&gt;&lt;note&gt;&lt;/note&gt;&lt;orcid&gt;&lt;/orcid&gt;&lt;/author&gt;&lt;author&gt;&lt;order&gt;65&lt;/order&gt;&lt;iucrid&gt;&lt;/iucrid&gt;&lt;prefix&gt;Dr&lt;/prefix&gt;&lt;forename&gt;Zsolt&lt;/forename&gt;&lt;surname&gt;Jenei&lt;/surname&gt;&lt;suffix&gt;&lt;/suffix&gt;&lt;addrid&gt;3&lt;/addrid&gt;&lt;email&gt;jenei1@llnl.gov&lt;/email&gt;&lt;corrauthor&gt;&lt;/corrauthor&gt;&lt;contactauthor&gt;&lt;/contactauthor&gt;&lt;phone&gt;&lt;/phone&gt;&lt;fax&gt;&lt;/fax&gt;&lt;note&gt;&lt;/note&gt;&lt;orcid&gt;&lt;/orcid&gt;&lt;/author&gt;&lt;author&gt;&lt;order&gt;66&lt;/order&gt;&lt;iucrid&gt;&lt;/iucrid&gt;&lt;prefix&gt;Dr&lt;/prefix&gt;&lt;forename&gt;Hanns-Peter&lt;/forename&gt;&lt;surname&gt;Liermann&lt;/surname&gt;&lt;suffix&gt;&lt;/suffix&gt;&lt;addrid&gt;0&lt;/addrid&gt;&lt;email&gt;hanns-peter.liermann@desy.de&lt;/email&gt;&lt;corrauthor&gt;y&lt;/corrauthor&gt;&lt;contactauthor&gt;&lt;/contactauthor&gt;&lt;phone&gt;&lt;/phone&gt;&lt;fax&gt;&lt;/fax&gt;&lt;note&gt;&lt;/note&gt;&lt;orcid&gt;&lt;/orcid&gt;&lt;/author&gt;&lt;/iucr:authors&gt;&lt;iucr:addresses xmlns:iucr=&quot;http://www.iucr.org/publaddresses&quot;&gt;&lt;address&gt;&lt;id&gt;0&lt;/id&gt;&lt;department&gt;Deutsches Elektronen-Synchrotron DESY&lt;/department&gt;&lt;organization&gt;&lt;/organization&gt;&lt;street&gt;Notkestr. 85&lt;/street&gt;&lt;city&gt;22607 Hamburg&lt;/city&gt;&lt;province&gt;&lt;/province&gt;&lt;code&gt;&lt;/code&gt;&lt;country&gt;Germany&lt;/country&gt;&lt;/address&gt;&lt;address&gt;&lt;id&gt;1&lt;/id&gt;&lt;department&gt;European XFEL&lt;/department&gt;&lt;organization&gt;&lt;/organization&gt;&lt;street&gt;Holzkoppel 4&lt;/street&gt;&lt;city&gt;Schenefeld&lt;/city&gt;&lt;province&gt;&lt;/province&gt;&lt;code&gt;22869&lt;/code&gt;&lt;country&gt;Germany&lt;/country&gt;&lt;/address&gt;&lt;address&gt;&lt;id&gt;2&lt;/id&gt;&lt;department&gt;The School of Physics and Astronomy, Centre for Science at Extreme Conditions, and SUPA, University of Edinburgh&lt;/department&gt;&lt;organization&gt;&lt;/organization&gt;&lt;street&gt;Peter Guthrie Tait Road&lt;/street&gt;&lt;city&gt;Edinburgh&lt;/city&gt;&lt;province&gt;&lt;/province&gt;&lt;code&gt;EH9 3FD&lt;/code&gt;&lt;country&gt;UK&lt;/country&gt;&lt;/address&gt;&lt;address&gt;&lt;id&gt;3&lt;/id&gt;&lt;department&gt;Lawrence Livermore National Laboratory, Physical and Life Science Directorate&lt;/department&gt;&lt;organization&gt;&lt;/organization&gt;&lt;street&gt;&lt;/street&gt;&lt;city&gt;Livermore&lt;/city&gt;&lt;province&gt;California&lt;/province&gt;&lt;code&gt;94550&lt;/code&gt;&lt;country&gt;United States&lt;/country&gt;&lt;/address&gt;&lt;address&gt;&lt;id&gt;4&lt;/id&gt;&lt;department&gt;University of Oxford, Department of Earth Sciences&lt;/department&gt;&lt;organization&gt;&lt;/organization&gt;&lt;street&gt;South Parks Road&lt;/street&gt;&lt;city&gt;Oxford&lt;/city&gt;&lt;province&gt;&lt;/province&gt;&lt;code&gt;OX1 3AN&lt;/code&gt;&lt;country&gt;UK&lt;/country&gt;&lt;/address&gt;&lt;address&gt;&lt;id&gt;5&lt;/id&gt;&lt;department&gt;The University of Chicago, Consortium for Advanced Radiation Sources&lt;/department&gt;&lt;organization&gt;&lt;/organization&gt;&lt;street&gt;5640 South Ellis Avenue Chicago&lt;/street&gt;&lt;city&gt;&lt;/city&gt;&lt;province&gt;&lt;/province&gt;&lt;code&gt;IL 60637&lt;/code&gt;&lt;country&gt;USA&lt;/country&gt;&lt;/address&gt;&lt;address&gt;&lt;id&gt;6&lt;/id&gt;&lt;department&gt;Los Alamos National Laboratory, Shock and Detonation Physics (M-9)&lt;/department&gt;&lt;organization&gt;&lt;/organization&gt;&lt;street&gt;PO 1663&lt;/street&gt;&lt;city&gt;Los Alamos&lt;/city&gt;&lt;province&gt;&lt;/province&gt;&lt;code&gt;NM 87545&lt;/code&gt;&lt;country&gt;USA&lt;/country&gt;&lt;/address&gt;&lt;address&gt;&lt;id&gt;7&lt;/id&gt;&lt;department&gt;Stony Brook University, Department of Geosciences, 255 Earth and Space Sciences Building (ESS), Stony Brook University&lt;/department&gt;&lt;organization&gt;&lt;/organization&gt;&lt;street&gt;&lt;/street&gt;&lt;city&gt;Stony Brook&lt;/city&gt;&lt;province&gt;&lt;/province&gt;&lt;code&gt;NY 11794-2100&lt;/code&gt;&lt;country&gt;USA&lt;/country&gt;&lt;/address&gt;&lt;address&gt;&lt;id&gt;8&lt;/id&gt;&lt;department&gt;Carnegie Science, Earth and Planets Laboratory&lt;/department&gt;&lt;organization&gt;&lt;/organization&gt;&lt;street&gt;5241 Broad Branch Road, NW&lt;/street&gt;&lt;city&gt;Washington&lt;/city&gt;&lt;province&gt;&lt;/province&gt;&lt;code&gt;DC 20015&lt;/code&gt;&lt;country&gt;USA&lt;/country&gt;&lt;/address&gt;&lt;address&gt;&lt;id&gt;9&lt;/id&gt;&lt;department&gt;Washington State University, Department of Chemistry and Institute for Shock Physics&lt;/department&gt;&lt;organization&gt;&lt;/organization&gt;&lt;street&gt;&lt;/street&gt;&lt;city&gt;Pullman, Washington&lt;/city&gt;&lt;province&gt;&lt;/province&gt;&lt;code&gt;99164&lt;/code&gt;&lt;country&gt;USA&lt;/country&gt;&lt;/address&gt;&lt;address&gt;&lt;id&gt;10&lt;/id&gt;&lt;department&gt;Technische Universit&amp;#228;t Dortmund, Fakult&amp;#228;t Physik/DELTA&lt;/department&gt;&lt;organization&gt;&lt;/organization&gt;&lt;street&gt;Maria-Goeppert-Mayer-Stra&amp;#223;e 2&lt;/street&gt;&lt;city&gt;Dortmund&lt;/city&gt;&lt;province&gt;&lt;/province&gt;&lt;code&gt;44227&lt;/code&gt;&lt;country&gt;Germany&lt;/country&gt;&lt;/address&gt;&lt;address&gt;&lt;id&gt;11&lt;/id&gt;&lt;department&gt;Hanyang University, Department of Physics&lt;/department&gt;&lt;organization&gt;&lt;/organization&gt;&lt;street&gt;17 Haengdang Dong&lt;/street&gt;&lt;city&gt;&lt;/city&gt;&lt;province&gt;Seongdong gu Seoul&lt;/province&gt;&lt;code&gt;133-791 Korea&lt;/code&gt;&lt;country&gt;Republic of Korea&lt;/country&gt;&lt;/address&gt;&lt;address&gt;&lt;id&gt;12&lt;/id&gt;&lt;department&gt;Friedrich-Schiller-Universit&amp;#228;t Jena, Institut f&amp;#252;r Geowissenschaften&lt;/department&gt;&lt;organization&gt;&lt;/organization&gt;&lt;street&gt;Burgweg 11&lt;/street&gt;&lt;city&gt;Jena&lt;/city&gt;&lt;province&gt;&lt;/province&gt;&lt;code&gt;07749&lt;/code&gt;&lt;country&gt;Germany&lt;/country&gt;&lt;/address&gt;&lt;address&gt;&lt;id&gt;13&lt;/id&gt;&lt;department&gt;SLAC National Accelerator Laboratory, 2575 Sand Hill Road, Menlo Park, CA 94025, USA&lt;/department&gt;&lt;organization&gt;&lt;/organization&gt;&lt;street&gt;&lt;/street&gt;&lt;city&gt;&lt;/city&gt;&lt;province&gt;&lt;/province&gt;&lt;code&gt;&lt;/code&gt;&lt;country&gt;UK&lt;/country&gt;&lt;/address&gt;&lt;address&gt;&lt;id&gt;14&lt;/id&gt;&lt;department&gt;Westf&amp;#228;lische Wilhelms-Universit&amp;#228;t M&amp;#252;nster, Institut f&amp;#252;r Mineralogie&lt;/department&gt;&lt;organization&gt;&lt;/organization&gt;&lt;street&gt;Corrensstra&amp;#223;e 24&lt;/street&gt;&lt;city&gt;M&amp;#252;nster&lt;/city&gt;&lt;province&gt;&lt;/province&gt;&lt;code&gt;48149&lt;/code&gt;&lt;country&gt;Germany&lt;/country&gt;&lt;/address&gt;&lt;address&gt;&lt;id&gt;15&lt;/id&gt;&lt;department&gt;Univ. Grenoble Alpes, Univ. Savoie Mont Blanc, CNRS, IRD, Univ. Gustave Eiffel, ISTerre, 38000 Grenoble, France&lt;/department&gt;&lt;organization&gt;&lt;/organization&gt;&lt;street&gt;Cedex 9&lt;/street&gt;&lt;city&gt;Grenoble&lt;/city&gt;&lt;province&gt;&lt;/province&gt;&lt;code&gt;38058&lt;/code&gt;&lt;country&gt;France&lt;/country&gt;&lt;/address&gt;&lt;address&gt;&lt;id&gt;16&lt;/id&gt;&lt;department&gt;CEA, DAM,DIF, 91297 Arpajon Cedex, France and Universit&amp;#233; Paris-Saclay, CEA, Laboratoire Mati&amp;#232;re en Conditions Extr&amp;#234;mes, 91680 Bruy&amp;#232;res-le-Ch&amp;#226;tel&lt;/department&gt;&lt;organization&gt;&lt;/organization&gt;&lt;street&gt;&lt;/street&gt;&lt;city&gt;&lt;/city&gt;&lt;province&gt;&lt;/province&gt;&lt;code&gt;&lt;/code&gt;&lt;country&gt;France&lt;/country&gt;&lt;/address&gt;&lt;address&gt;&lt;id&gt;17&lt;/id&gt;&lt;department&gt;Albert-Ludwigs University of Freiburg, Institute of Earth and Environmental Sciences&lt;/department&gt;&lt;organization&gt;&lt;/organization&gt;&lt;street&gt;Hermann-Herder-Str. 5&lt;/street&gt;&lt;city&gt;Freiburg&lt;/city&gt;&lt;province&gt;&lt;/province&gt;&lt;code&gt;D-79104&lt;/code&gt;&lt;country&gt;Germany&lt;/country&gt;&lt;/address&gt;&lt;address&gt;&lt;id&gt;18&lt;/id&gt;&lt;department&gt;Universit&amp;#228;t Rostock, Institut f&amp;#252;r Physik&lt;/department&gt;&lt;organization&gt;&lt;/organization&gt;&lt;street&gt;Albert-Einstein-Stra&amp;#223;e 23 - 24&lt;/street&gt;&lt;city&gt;&lt;/city&gt;&lt;province&gt;&lt;/province&gt;&lt;code&gt;18059&lt;/code&gt;&lt;country&gt;Germany&lt;/country&gt;&lt;/address&gt;&lt;address&gt;&lt;id&gt;19&lt;/id&gt;&lt;department&gt;Argonne National Laboratory (ANL), High Pressure Collaborative Access Team (HPCAT), X-ray Science Division (XSD)&lt;/department&gt;&lt;organization&gt;&lt;/organization&gt;&lt;street&gt;9700 S. Cass Avenue&lt;/street&gt;&lt;city&gt;Lemont&lt;/city&gt;&lt;province&gt;IL&lt;/province&gt;&lt;code&gt;IL 60439&lt;/code&gt;&lt;country&gt;USA&lt;/country&gt;&lt;/address&gt;&lt;address&gt;&lt;id&gt;20&lt;/id&gt;&lt;department&gt;Helmholtz-Zentrum Potsdam - Deutsches GeoForschungsZentrum (GFZ), Department 3: Geochemie - Chemie und Physik der Geomaterialien&lt;/department&gt;&lt;organization&gt;&lt;/organization&gt;&lt;street&gt;Telegrafenberg 14473&lt;/street&gt;&lt;city&gt;Potsdam&lt;/city&gt;&lt;province&gt;&lt;/province&gt;&lt;code&gt;&lt;/code&gt;&lt;country&gt;Germany&lt;/country&gt;&lt;/address&gt;&lt;/iucr:addresses&gt;"/>
    <w:docVar w:name="iucrcategory" w:val="research papers"/>
    <w:docVar w:name="iucrdocument" w:val="&lt;?xml version=&quot;1.0&quot; encoding=&quot;utf-8&quot; ?&gt;&lt;iucr:document xmlns:iucr=&quot;http://www.iucr.org/publdocument&quot;&gt;&lt;title&gt;A MHz X-ray diffraction set-up for dynamic compression experiments in the diamond anvil cell&lt;/title&gt;&lt;iucr:publjnl xmlns:iucr=&quot;http//www.iucr.org/publjnl&quot;&gt;&lt;jnlname&gt;Journal of Synchrotron Radiation&lt;/jnlname&gt;&lt;jnlcategory&gt;research papers&lt;/jnlcategory&gt;&lt;jnlfield&gt;&lt;/jnlfield&gt;&lt;/iucr:publjnl&gt;&lt;iucr:authors xmlns:iucr=&quot;http://www.iucr.org/publauthors&quot;&gt;&lt;author&gt;&lt;order&gt;1&lt;/order&gt;&lt;iucrid&gt;&lt;/iucrid&gt;&lt;prefix&gt;Dr&lt;/prefix&gt;&lt;forename&gt;Rachel J.&lt;/forename&gt;&lt;surname&gt;Husband&lt;/surname&gt;&lt;suffix&gt;&lt;/suffix&gt;&lt;addrid&gt;0&lt;/addrid&gt;&lt;email&gt;rachel.husband@desy.de&lt;/email&gt;&lt;corrauthor&gt;y&lt;/corrauthor&gt;&lt;contactauthor&gt;&lt;/contactauthor&gt;&lt;phone&gt;&lt;/phone&gt;&lt;fax&gt;&lt;/fax&gt;&lt;note&gt;&lt;/note&gt;&lt;orcid&gt;&lt;/orcid&gt;&lt;/author&gt;&lt;author&gt;&lt;order&gt;2&lt;/order&gt;&lt;iucrid&gt;&lt;/iucrid&gt;&lt;prefix&gt;Dr&lt;/prefix&gt;&lt;forename&gt;Cornelius&lt;/forename&gt;&lt;surname&gt;Strohm&lt;/surname&gt;&lt;suffix&gt;&lt;/suffix&gt;&lt;addrid&gt;0&lt;/addrid&gt;&lt;email&gt;cornelius.strohm@desy.de&lt;/email&gt;&lt;corrauthor&gt;&lt;/corrauthor&gt;&lt;contactauthor&gt;&lt;/contactauthor&gt;&lt;phone&gt;&lt;/phone&gt;&lt;fax&gt;&lt;/fax&gt;&lt;note&gt;&lt;/note&gt;&lt;orcid&gt;&lt;/orcid&gt;&lt;/author&gt;&lt;author&gt;&lt;order&gt;3&lt;/order&gt;&lt;iucrid&gt;&lt;/iucrid&gt;&lt;prefix&gt;Dr&lt;/prefix&gt;&lt;forename&gt;Karen&lt;/forename&gt;&lt;surname&gt;Appel&lt;/surname&gt;&lt;suffix&gt;&lt;/suffix&gt;&lt;addrid&gt;1&lt;/addrid&gt;&lt;email&gt;&lt;/email&gt;&lt;corrauthor&gt;&lt;/corrauthor&gt;&lt;contactauthor&gt;&lt;/contactauthor&gt;&lt;phone&gt;&lt;/phone&gt;&lt;fax&gt;&lt;/fax&gt;&lt;note&gt;&lt;/note&gt;&lt;orcid&gt;&lt;/orcid&gt;&lt;/author&gt;&lt;author&gt;&lt;order&gt;4&lt;/order&gt;&lt;iucrid&gt;&lt;/iucrid&gt;&lt;prefix&gt;Ms&lt;/prefix&gt;&lt;forename&gt;Orianna B.&lt;/forename&gt;&lt;surname&gt;Ball&lt;/surname&gt;&lt;suffix&gt;&lt;/suffix&gt;&lt;addrid&gt;2&lt;/addrid&gt;&lt;email&gt;&lt;/email&gt;&lt;corrauthor&gt;&lt;/corrauthor&gt;&lt;contactauthor&gt;&lt;/contactauthor&gt;&lt;phone&gt;&lt;/phone&gt;&lt;fax&gt;&lt;/fax&gt;&lt;note&gt;&lt;/note&gt;&lt;orcid&gt;&lt;/orcid&gt;&lt;/author&gt;&lt;author&gt;&lt;order&gt;5&lt;/order&gt;&lt;iucrid&gt;&lt;/iucrid&gt;&lt;prefix&gt;Dr&lt;/prefix&gt;&lt;forename&gt;Richard&lt;/forename&gt;&lt;surname&gt;Briggs&lt;/surname&gt;&lt;suffix&gt;&lt;/suffix&gt;&lt;addrid&gt;3&lt;/addrid&gt;&lt;email&gt;&lt;/email&gt;&lt;corrauthor&gt;&lt;/corrauthor&gt;&lt;contactauthor&gt;&lt;/contactauthor&gt;&lt;phone&gt;&lt;/phone&gt;&lt;fax&gt;&lt;/fax&gt;&lt;note&gt;&lt;/note&gt;&lt;orcid&gt;&lt;/orcid&gt;&lt;/author&gt;&lt;author&gt;&lt;order&gt;6&lt;/order&gt;&lt;iucrid&gt;&lt;/iucrid&gt;&lt;prefix&gt;Dr&lt;/prefix&gt;&lt;forename&gt;Johannes&lt;/forename&gt;&lt;surname&gt;Buchen&lt;/surname&gt;&lt;suffix&gt;&lt;/suffix&gt;&lt;addrid&gt;4&lt;/addrid&gt;&lt;email&gt;johannes.buchen@earth.ox.ac.uk&lt;/email&gt;&lt;corrauthor&gt;&lt;/corrauthor&gt;&lt;contactauthor&gt;&lt;/contactauthor&gt;&lt;phone&gt;&lt;/phone&gt;&lt;fax&gt;&lt;/fax&gt;&lt;note&gt;&lt;/note&gt;&lt;orcid&gt;&lt;/orcid&gt;&lt;/author&gt;&lt;author&gt;&lt;order&gt;7&lt;/order&gt;&lt;iucrid&gt;&lt;/iucrid&gt;&lt;prefix&gt;Dr&lt;/prefix&gt;&lt;forename&gt;Valerio&lt;/forename&gt;&lt;surname&gt;Cerantola&lt;/surname&gt;&lt;suffix&gt;&lt;/suffix&gt;&lt;addrid&gt;1&lt;/addrid&gt;&lt;email&gt;valerio.cerantola@unimib.it&lt;/email&gt;&lt;corrauthor&gt;&lt;/corrauthor&gt;&lt;contactauthor&gt;&lt;/contactauthor&gt;&lt;phone&gt;&lt;/phone&gt;&lt;fax&gt;&lt;/fax&gt;&lt;note&gt;Current address: Department of Earth and Environmental Sciences (DISAT), University of Milano-Bicocca, Piazza della Scienza 4, 20126 Milan, Italy&lt;/note&gt;&lt;orcid&gt;&lt;/orcid&gt;&lt;/author&gt;&lt;author&gt;&lt;order&gt;8&lt;/order&gt;&lt;iucrid&gt;&lt;/iucrid&gt;&lt;prefix&gt;Dr&lt;/prefix&gt;&lt;forename&gt;Stella&lt;/forename&gt;&lt;surname&gt;Chariton&lt;/surname&gt;&lt;suffix&gt;&lt;/suffix&gt;&lt;addrid&gt;5&lt;/addrid&gt;&lt;email&gt;chariton@cars.uchicago.edu&lt;/email&gt;&lt;corrauthor&gt;&lt;/corrauthor&gt;&lt;contactauthor&gt;&lt;/contactauthor&gt;&lt;phone&gt;&lt;/phone&gt;&lt;fax&gt;&lt;/fax&gt;&lt;note&gt;&lt;/note&gt;&lt;orcid&gt;&lt;/orcid&gt;&lt;/author&gt;&lt;author&gt;&lt;order&gt;9&lt;/order&gt;&lt;iucrid&gt;&lt;/iucrid&gt;&lt;prefix&gt;Dr&lt;/prefix&gt;&lt;forename&gt;Amy L.&lt;/forename&gt;&lt;surname&gt;Coleman&lt;/surname&gt;&lt;suffix&gt;&lt;/suffix&gt;&lt;addrid&gt;3&lt;/addrid&gt;&lt;email&gt;coleman55@llnl.gov&lt;/email&gt;&lt;corrauthor&gt;&lt;/corrauthor&gt;&lt;contactauthor&gt;&lt;/contactauthor&gt;&lt;phone&gt;&lt;/phone&gt;&lt;fax&gt;&lt;/fax&gt;&lt;note&gt;&lt;/note&gt;&lt;orcid&gt;&lt;/orcid&gt;&lt;/author&gt;&lt;author&gt;&lt;order&gt;10&lt;/order&gt;&lt;iucrid&gt;&lt;/iucrid&gt;&lt;prefix&gt;&lt;/prefix&gt;&lt;forename&gt;Hyunchae&lt;/forename&gt;&lt;surname&gt;Cynn&lt;/surname&gt;&lt;suffix&gt;&lt;/suffix&gt;&lt;addrid&gt;3&lt;/addrid&gt;&lt;email&gt;cynn1@llnl.gov&lt;/email&gt;&lt;corrauthor&gt;&lt;/corrauthor&gt;&lt;contactauthor&gt;&lt;/contactauthor&gt;&lt;phone&gt;&lt;/phone&gt;&lt;fax&gt;&lt;/fax&gt;&lt;note&gt;&lt;/note&gt;&lt;orcid&gt;&lt;/orcid&gt;&lt;/author&gt;&lt;author&gt;&lt;order&gt;11&lt;/order&gt;&lt;iucrid&gt;&lt;/iucrid&gt;&lt;prefix&gt;Dr&lt;/prefix&gt;&lt;forename&gt;Dana&lt;/forename&gt;&lt;surname&gt;Dattelbaum&lt;/surname&gt;&lt;suffix&gt;&lt;/suffix&gt;&lt;addrid&gt;6&lt;/addrid&gt;&lt;email&gt;danadat@lanl.gov&lt;/email&gt;&lt;corrauthor&gt;&lt;/corrauthor&gt;&lt;contactauthor&gt;&lt;/contactauthor&gt;&lt;phone&gt;&lt;/phone&gt;&lt;fax&gt;&lt;/fax&gt;&lt;note&gt;&lt;/note&gt;&lt;orcid&gt;&lt;/orcid&gt;&lt;/author&gt;&lt;author&gt;&lt;order&gt;12&lt;/order&gt;&lt;iucrid&gt;&lt;/iucrid&gt;&lt;prefix&gt;Mr&lt;/prefix&gt;&lt;forename&gt;Anand&lt;/forename&gt;&lt;surname&gt;Dwivedi&lt;/surname&gt;&lt;suffix&gt;&lt;/suffix&gt;&lt;addrid&gt;1&lt;/addrid&gt;&lt;email&gt;anand.dwivedi@xfel.eu&lt;/email&gt;&lt;corrauthor&gt;&lt;/corrauthor&gt;&lt;contactauthor&gt;&lt;/contactauthor&gt;&lt;phone&gt;&lt;/phone&gt;&lt;fax&gt;&lt;/fax&gt;&lt;note&gt;&lt;/note&gt;&lt;orcid&gt;&lt;/orcid&gt;&lt;/author&gt;&lt;author&gt;&lt;order&gt;13&lt;/order&gt;&lt;iucrid&gt;&lt;/iucrid&gt;&lt;prefix&gt;Dr&lt;/prefix&gt;&lt;forename&gt;Jon H.&lt;/forename&gt;&lt;surname&gt;Eggert&lt;/surname&gt;&lt;suffix&gt;&lt;/suffix&gt;&lt;addrid&gt;3&lt;/addrid&gt;&lt;email&gt;eggert1@llnl.gov&lt;/email&gt;&lt;corrauthor&gt;&lt;/corrauthor&gt;&lt;contactauthor&gt;&lt;/contactauthor&gt;&lt;phone&gt;&lt;/phone&gt;&lt;fax&gt;&lt;/fax&gt;&lt;note&gt;&lt;/note&gt;&lt;orcid&gt;&lt;/orcid&gt;&lt;/author&gt;&lt;author&gt;&lt;order&gt;14&lt;/order&gt;&lt;iucrid&gt;&lt;/iucrid&gt;&lt;prefix&gt;Dr&lt;/prefix&gt;&lt;forename&gt;Lars&lt;/forename&gt;&lt;surname&gt;Ehm&lt;/surname&gt;&lt;suffix&gt;&lt;/suffix&gt;&lt;addrid&gt;7&lt;/addrid&gt;&lt;email&gt;lars.ehm@stonybrook.edu&lt;/email&gt;&lt;corrauthor&gt;&lt;/corrauthor&gt;&lt;contactauthor&gt;&lt;/contactauthor&gt;&lt;phone&gt;&lt;/phone&gt;&lt;fax&gt;&lt;/fax&gt;&lt;note&gt;&lt;/note&gt;&lt;orcid&gt;&lt;/orcid&gt;&lt;/author&gt;&lt;author&gt;&lt;order&gt;15&lt;/order&gt;&lt;iucrid&gt;&lt;/iucrid&gt;&lt;prefix&gt;Dr&lt;/prefix&gt;&lt;forename&gt;William J.&lt;/forename&gt;&lt;surname&gt;Evans&lt;/surname&gt;&lt;suffix&gt;&lt;/suffix&gt;&lt;addrid&gt;3&lt;/addrid&gt;&lt;email&gt;evans31@llnl.gov&lt;/email&gt;&lt;corrauthor&gt;&lt;/corrauthor&gt;&lt;contactauthor&gt;&lt;/contactauthor&gt;&lt;phone&gt;&lt;/phone&gt;&lt;fax&gt;&lt;/fax&gt;&lt;note&gt;&lt;/note&gt;&lt;orcid&gt;&lt;/orcid&gt;&lt;/author&gt;&lt;author&gt;&lt;order&gt;16&lt;/order&gt;&lt;iucrid&gt;&lt;/iucrid&gt;&lt;prefix&gt;Dr&lt;/prefix&gt;&lt;forename&gt;Konstantin&lt;/forename&gt;&lt;surname&gt;Glazyrin&lt;/surname&gt;&lt;suffix&gt;&lt;/suffix&gt;&lt;addrid&gt;0&lt;/addrid&gt;&lt;email&gt;konstantin.glazyrin@desy.de&lt;/email&gt;&lt;corrauthor&gt;&lt;/corrauthor&gt;&lt;contactauthor&gt;&lt;/contactauthor&gt;&lt;phone&gt;&lt;/phone&gt;&lt;fax&gt;&lt;/fax&gt;&lt;note&gt;&lt;/note&gt;&lt;orcid&gt;&lt;/orcid&gt;&lt;/author&gt;&lt;author&gt;&lt;order&gt;17&lt;/order&gt;&lt;iucrid&gt;&lt;/iucrid&gt;&lt;prefix&gt;Dr&lt;/prefix&gt;&lt;forename&gt;Alexander F.&lt;/forename&gt;&lt;surname&gt;Goncharov&lt;/surname&gt;&lt;suffix&gt;&lt;/suffix&gt;&lt;addrid&gt;8&lt;/addrid&gt;&lt;email&gt;agoncharov@carnegiescience.edu&lt;/email&gt;&lt;corrauthor&gt;&lt;/corrauthor&gt;&lt;contactauthor&gt;&lt;/contactauthor&gt;&lt;phone&gt;&lt;/phone&gt;&lt;fax&gt;&lt;/fax&gt;&lt;note&gt;&lt;/note&gt;&lt;orcid&gt;&lt;/orcid&gt;&lt;/author&gt;&lt;author&gt;&lt;order&gt;18&lt;/order&gt;&lt;iucrid&gt;&lt;/iucrid&gt;&lt;prefix&gt;Dr&lt;/prefix&gt;&lt;forename&gt;Heinz&lt;/forename&gt;&lt;surname&gt;Graafsma&lt;/surname&gt;&lt;suffix&gt;&lt;/suffix&gt;&lt;addrid&gt;0&lt;/addrid&gt;&lt;email&gt;heinz.graafsma@desy.de&lt;/email&gt;&lt;corrauthor&gt;&lt;/corrauthor&gt;&lt;contactauthor&gt;&lt;/contactauthor&gt;&lt;phone&gt;&lt;/phone&gt;&lt;fax&gt;&lt;/fax&gt;&lt;note&gt;&lt;/note&gt;&lt;orcid&gt;&lt;/orcid&gt;&lt;/author&gt;&lt;author&gt;&lt;order&gt;19&lt;/order&gt;&lt;iucrid&gt;&lt;/iucrid&gt;&lt;prefix&gt;Mr&lt;/prefix&gt;&lt;forename&gt;Alex&lt;/forename&gt;&lt;surname&gt;Howard&lt;/surname&gt;&lt;suffix&gt;&lt;/suffix&gt;&lt;addrid&gt;9&lt;/addrid&gt;&lt;email&gt;alex.howard@wsu.edu&lt;/email&gt;&lt;corrauthor&gt;&lt;/corrauthor&gt;&lt;contactauthor&gt;&lt;/contactauthor&gt;&lt;phone&gt;&lt;/phone&gt;&lt;fax&gt;&lt;/fax&gt;&lt;note&gt;&lt;/note&gt;&lt;orcid&gt;&lt;/orcid&gt;&lt;/author&gt;&lt;author&gt;&lt;order&gt;20&lt;/order&gt;&lt;iucrid&gt;&lt;/iucrid&gt;&lt;prefix&gt;Dr&lt;/prefix&gt;&lt;forename&gt;Larissa&lt;/forename&gt;&lt;surname&gt;Huston&lt;/surname&gt;&lt;suffix&gt;&lt;/suffix&gt;&lt;addrid&gt;6&lt;/addrid&gt;&lt;email&gt;lqhuston@gmail.com&lt;/email&gt;&lt;corrauthor&gt;&lt;/corrauthor&gt;&lt;contactauthor&gt;&lt;/contactauthor&gt;&lt;phone&gt;&lt;/phone&gt;&lt;fax&gt;&lt;/fax&gt;&lt;note&gt;&lt;/note&gt;&lt;orcid&gt;&lt;/orcid&gt;&lt;/author&gt;&lt;author&gt;&lt;order&gt;21&lt;/order&gt;&lt;iucrid&gt;&lt;/iucrid&gt;&lt;prefix&gt;Dr&lt;/prefix&gt;&lt;forename&gt;Trevor&lt;/forename&gt;&lt;surname&gt;Hutchinson&lt;/surname&gt;&lt;suffix&gt;&lt;/suffix&gt;&lt;addrid&gt;3&lt;/addrid&gt;&lt;email&gt;&lt;/email&gt;&lt;corrauthor&gt;&lt;/corrauthor&gt;&lt;contactauthor&gt;&lt;/contactauthor&gt;&lt;phone&gt;&lt;/phone&gt;&lt;fax&gt;&lt;/fax&gt;&lt;note&gt;&lt;/note&gt;&lt;orcid&gt;&lt;/orcid&gt;&lt;/author&gt;&lt;author&gt;&lt;order&gt;22&lt;/order&gt;&lt;iucrid&gt;&lt;/iucrid&gt;&lt;prefix&gt;Dr&lt;/prefix&gt;&lt;forename&gt;Huijeong&lt;/forename&gt;&lt;surname&gt;Hwang&lt;/surname&gt;&lt;suffix&gt;&lt;/suffix&gt;&lt;addrid&gt;0&lt;/addrid&gt;&lt;email&gt;huijeonghwang@gist.ac.kr&lt;/email&gt;&lt;corrauthor&gt;&lt;/corrauthor&gt;&lt;contactauthor&gt;&lt;/contactauthor&gt;&lt;phone&gt;&lt;/phone&gt;&lt;fax&gt;&lt;/fax&gt;&lt;note&gt;Current address: School of Earth Sciences and Environmental Engineering, Gwangju Institute of Science and Technology, 123 Cheomdan-Gwagiro, Gwangju 61005, Republic of Korea&lt;/note&gt;&lt;orcid&gt;&lt;/orcid&gt;&lt;/author&gt;&lt;author&gt;&lt;order&gt;23&lt;/order&gt;&lt;iucrid&gt;&lt;/iucrid&gt;&lt;prefix&gt;Mr&lt;/prefix&gt;&lt;forename&gt;Sony&lt;/forename&gt;&lt;surname&gt;Jacob&lt;/surname&gt;&lt;suffix&gt;&lt;/suffix&gt;&lt;addrid&gt;3&lt;/addrid&gt;&lt;email&gt;Jacob9@llnl.gov&lt;/email&gt;&lt;corrauthor&gt;&lt;/corrauthor&gt;&lt;contactauthor&gt;&lt;/contactauthor&gt;&lt;phone&gt;&lt;/phone&gt;&lt;fax&gt;&lt;/fax&gt;&lt;note&gt;&lt;/note&gt;&lt;orcid&gt;&lt;/orcid&gt;&lt;/author&gt;&lt;author&gt;&lt;order&gt;24&lt;/order&gt;&lt;iucrid&gt;&lt;/iucrid&gt;&lt;prefix&gt;Mr&lt;/prefix&gt;&lt;forename&gt;Johannes&lt;/forename&gt;&lt;surname&gt;Kaa&lt;/surname&gt;&lt;suffix&gt;&lt;/suffix&gt;&lt;addrid&gt;10&lt;/addrid&gt;&lt;addrid&gt;1&lt;/addrid&gt;&lt;email&gt;johannes.kaa@xfel.eu&lt;/email&gt;&lt;corrauthor&gt;&lt;/corrauthor&gt;&lt;contactauthor&gt;&lt;/contactauthor&gt;&lt;phone&gt;&lt;/phone&gt;&lt;fax&gt;&lt;/fax&gt;&lt;note&gt;&lt;/note&gt;&lt;orcid&gt;&lt;/orcid&gt;&lt;/author&gt;&lt;author&gt;&lt;order&gt;25&lt;/order&gt;&lt;iucrid&gt;&lt;/iucrid&gt;&lt;prefix&gt;&lt;/prefix&gt;&lt;forename&gt;Jaeyong&lt;/forename&gt;&lt;surname&gt;Kim&lt;/surname&gt;&lt;suffix&gt;&lt;/suffix&gt;&lt;addrid&gt;11&lt;/addrid&gt;&lt;email&gt;kimjy@hanyang.ac.kr&lt;/email&gt;&lt;corrauthor&gt;&lt;/corrauthor&gt;&lt;contactauthor&gt;&lt;/contactauthor&gt;&lt;phone&gt;&lt;/phone&gt;&lt;fax&gt;&lt;/fax&gt;&lt;note&gt;&lt;/note&gt;&lt;orcid&gt;&lt;/orcid&gt;&lt;/author&gt;&lt;author&gt;&lt;order&gt;26&lt;/order&gt;&lt;iucrid&gt;&lt;/iucrid&gt;&lt;prefix&gt;Dr&lt;/prefix&gt;&lt;forename&gt;Minseob&lt;/forename&gt;&lt;surname&gt;Kim&lt;/surname&gt;&lt;suffix&gt;&lt;/suffix&gt;&lt;addrid&gt;9&lt;/addrid&gt;&lt;email&gt;m_kim@wsu.edu&lt;/email&gt;&lt;corrauthor&gt;&lt;/corrauthor&gt;&lt;contactauthor&gt;&lt;/contactauthor&gt;&lt;phone&gt;&lt;/phone&gt;&lt;fax&gt;&lt;/fax&gt;&lt;note&gt;&lt;/note&gt;&lt;orcid&gt;&lt;/orcid&gt;&lt;/author&gt;&lt;author&gt;&lt;order&gt;27&lt;/order&gt;&lt;iucrid&gt;&lt;/iucrid&gt;&lt;prefix&gt;&lt;/prefix&gt;&lt;forename&gt;Egor&lt;/forename&gt;&lt;surname&gt;Koemets&lt;/surname&gt;&lt;suffix&gt;&lt;/suffix&gt;&lt;addrid&gt;4&lt;/addrid&gt;&lt;email&gt;egor.koemets@earth.ox.ac.uk&lt;/email&gt;&lt;corrauthor&gt;&lt;/corrauthor&gt;&lt;contactauthor&gt;&lt;/contactauthor&gt;&lt;phone&gt;&lt;/phone&gt;&lt;fax&gt;&lt;/fax&gt;&lt;note&gt;&lt;/note&gt;&lt;orcid&gt;&lt;/orcid&gt;&lt;/author&gt;&lt;author&gt;&lt;order&gt;28&lt;/order&gt;&lt;iucrid&gt;&lt;/iucrid&gt;&lt;prefix&gt;Dr&lt;/prefix&gt;&lt;forename&gt;Zuzana&lt;/forename&gt;&lt;surname&gt;Kon&amp;#244;pkov&amp;#225;&lt;/surname&gt;&lt;suffix&gt;&lt;/suffix&gt;&lt;addrid&gt;1&lt;/addrid&gt;&lt;email&gt;zuzana.konopkova@xfel.eu&lt;/email&gt;&lt;corrauthor&gt;&lt;/corrauthor&gt;&lt;contactauthor&gt;&lt;/contactauthor&gt;&lt;phone&gt;&lt;/phone&gt;&lt;fax&gt;&lt;/fax&gt;&lt;note&gt;&lt;/note&gt;&lt;orcid&gt;&lt;/orcid&gt;&lt;/author&gt;&lt;author&gt;&lt;order&gt;29&lt;/order&gt;&lt;iucrid&gt;&lt;/iucrid&gt;&lt;prefix&gt;Professor&lt;/prefix&gt;&lt;forename&gt;Falko&lt;/forename&gt;&lt;surname&gt;Langenhorst&lt;/surname&gt;&lt;suffix&gt;&lt;/suffix&gt;&lt;addrid&gt;12&lt;/addrid&gt;&lt;email&gt;falko.langenhorst@uni-jena.de&lt;/email&gt;&lt;corrauthor&gt;&lt;/corrauthor&gt;&lt;contactauthor&gt;&lt;/contactauthor&gt;&lt;phone&gt;&lt;/phone&gt;&lt;fax&gt;&lt;/fax&gt;&lt;note&gt;&lt;/note&gt;&lt;orcid&gt;&lt;/orcid&gt;&lt;/author&gt;&lt;author&gt;&lt;order&gt;30&lt;/order&gt;&lt;iucrid&gt;&lt;/iucrid&gt;&lt;prefix&gt;Dr&lt;/prefix&gt;&lt;forename&gt;Torsten&lt;/forename&gt;&lt;surname&gt;Laurus&lt;/surname&gt;&lt;suffix&gt;&lt;/suffix&gt;&lt;addrid&gt;0&lt;/addrid&gt;&lt;email&gt;torsten.laurus@desy.de&lt;/email&gt;&lt;corrauthor&gt;&lt;/corrauthor&gt;&lt;contactauthor&gt;&lt;/contactauthor&gt;&lt;phone&gt;&lt;/phone&gt;&lt;fax&gt;&lt;/fax&gt;&lt;note&gt;&lt;/note&gt;&lt;orcid&gt;&lt;/orcid&gt;&lt;/author&gt;&lt;author&gt;&lt;order&gt;31&lt;/order&gt;&lt;iucrid&gt;&lt;/iucrid&gt;&lt;prefix&gt;Dr&lt;/prefix&gt;&lt;forename&gt;Xinyang&lt;/forename&gt;&lt;surname&gt;Li&lt;/surname&gt;&lt;suffix&gt;&lt;/suffix&gt;&lt;addrid&gt;0&lt;/addrid&gt;&lt;email&gt;lixinyang@jlu.edu.cn&lt;/email&gt;&lt;corrauthor&gt;&lt;/corrauthor&gt;&lt;contactauthor&gt;&lt;/contactauthor&gt;&lt;phone&gt;&lt;/phone&gt;&lt;fax&gt;&lt;/fax&gt;&lt;note&gt;Current address: College of physics, State Key Laboratory of Superhard Materials, Jilin University, Changchun 130012, China&lt;/note&gt;&lt;orcid&gt;&lt;/orcid&gt;&lt;/author&gt;&lt;author&gt;&lt;order&gt;32&lt;/order&gt;&lt;iucrid&gt;&lt;/iucrid&gt;&lt;prefix&gt;Mr&lt;/prefix&gt;&lt;forename&gt;Jona&lt;/forename&gt;&lt;surname&gt;Mainberger&lt;/surname&gt;&lt;suffix&gt;&lt;/suffix&gt;&lt;addrid&gt;0&lt;/addrid&gt;&lt;email&gt;jona.mainberger@desy.de&lt;/email&gt;&lt;corrauthor&gt;&lt;/corrauthor&gt;&lt;contactauthor&gt;&lt;/contactauthor&gt;&lt;phone&gt;&lt;/phone&gt;&lt;fax&gt;&lt;/fax&gt;&lt;note&gt;&lt;/note&gt;&lt;orcid&gt;&lt;/orcid&gt;&lt;/author&gt;&lt;author&gt;&lt;order&gt;33&lt;/order&gt;&lt;iucrid&gt;&lt;/iucrid&gt;&lt;prefix&gt;Dr&lt;/prefix&gt;&lt;forename&gt;Hauke&lt;/forename&gt;&lt;surname&gt;Marquardt&lt;/surname&gt;&lt;suffix&gt;&lt;/suffix&gt;&lt;addrid&gt;4&lt;/addrid&gt;&lt;email&gt;hauke.marquardt@earth.ox.ac.uk&lt;/email&gt;&lt;corrauthor&gt;&lt;/corrauthor&gt;&lt;contactauthor&gt;&lt;/contactauthor&gt;&lt;phone&gt;&lt;/phone&gt;&lt;fax&gt;&lt;/fax&gt;&lt;note&gt;&lt;/note&gt;&lt;orcid&gt;&lt;/orcid&gt;&lt;/author&gt;&lt;author&gt;&lt;order&gt;34&lt;/order&gt;&lt;iucrid&gt;&lt;/iucrid&gt;&lt;prefix&gt;Dr&lt;/prefix&gt;&lt;forename&gt;Emma E.&lt;/forename&gt;&lt;surname&gt;McBride&lt;/surname&gt;&lt;suffix&gt;&lt;/suffix&gt;&lt;addrid&gt;13&lt;/addrid&gt;&lt;email&gt;e.mcbride@qub.ac.uk&lt;/email&gt;&lt;corrauthor&gt;&lt;/corrauthor&gt;&lt;contactauthor&gt;&lt;/contactauthor&gt;&lt;phone&gt;&lt;/phone&gt;&lt;fax&gt;&lt;/fax&gt;&lt;note&gt;Current address: Queen's University Belfast, School of Mathematics and Physics, University Road, Belfast BT7 1NN, UK&lt;/note&gt;&lt;orcid&gt;&lt;/orcid&gt;&lt;/author&gt;&lt;author&gt;&lt;order&gt;35&lt;/order&gt;&lt;iucrid&gt;&lt;/iucrid&gt;&lt;prefix&gt;Dr&lt;/prefix&gt;&lt;forename&gt;Christopher&lt;/forename&gt;&lt;surname&gt;McGuire&lt;/surname&gt;&lt;suffix&gt;&lt;/suffix&gt;&lt;addrid&gt;3&lt;/addrid&gt;&lt;email&gt;mcguire24@llnl.gov&lt;/email&gt;&lt;corrauthor&gt;&lt;/corrauthor&gt;&lt;contactauthor&gt;&lt;/contactauthor&gt;&lt;phone&gt;&lt;/phone&gt;&lt;fax&gt;&lt;/fax&gt;&lt;note&gt;&lt;/note&gt;&lt;orcid&gt;&lt;/orcid&gt;&lt;/author&gt;&lt;author&gt;&lt;order&gt;36&lt;/order&gt;&lt;iucrid&gt;&lt;/iucrid&gt;&lt;prefix&gt;Mr&lt;/prefix&gt;&lt;forename&gt;James D.&lt;/forename&gt;&lt;surname&gt;McHardy&lt;/surname&gt;&lt;suffix&gt;&lt;/suffix&gt;&lt;addrid&gt;2&lt;/addrid&gt;&lt;email&gt;J.D.McHardy@ed.ac.uk&lt;/email&gt;&lt;corrauthor&gt;&lt;/corrauthor&gt;&lt;contactauthor&gt;&lt;/contactauthor&gt;&lt;phone&gt;&lt;/phone&gt;&lt;fax&gt;&lt;/fax&gt;&lt;note&gt;&lt;/note&gt;&lt;orcid&gt;&lt;/orcid&gt;&lt;/author&gt;&lt;author&gt;&lt;order&gt;37&lt;/order&gt;&lt;iucrid&gt;&lt;/iucrid&gt;&lt;prefix&gt;Professor&lt;/prefix&gt;&lt;forename&gt;Malcolm I.&lt;/forename&gt;&lt;surname&gt;McMahon&lt;/surname&gt;&lt;suffix&gt;&lt;/suffix&gt;&lt;addrid&gt;2&lt;/addrid&gt;&lt;email&gt;M.I.McMahon@ed.ac.uk&lt;/email&gt;&lt;corrauthor&gt;&lt;/corrauthor&gt;&lt;contactauthor&gt;&lt;/contactauthor&gt;&lt;phone&gt;&lt;/phone&gt;&lt;fax&gt;&lt;/fax&gt;&lt;note&gt;&lt;/note&gt;&lt;orcid&gt;&lt;/orcid&gt;&lt;/author&gt;&lt;author&gt;&lt;order&gt;38&lt;/order&gt;&lt;iucrid&gt;&lt;/iucrid&gt;&lt;prefix&gt;Dr&lt;/prefix&gt;&lt;forename&gt;R. Stewart&lt;/forename&gt;&lt;surname&gt;McWilliams&lt;/surname&gt;&lt;suffix&gt;&lt;/suffix&gt;&lt;addrid&gt;2&lt;/addrid&gt;&lt;email&gt;rs.mcwilliams@ed.ac.uk&lt;/email&gt;&lt;corrauthor&gt;&lt;/corrauthor&gt;&lt;contactauthor&gt;&lt;/contactauthor&gt;&lt;phone&gt;&lt;/phone&gt;&lt;fax&gt;&lt;/fax&gt;&lt;note&gt;&lt;/note&gt;&lt;orcid&gt;&lt;/orcid&gt;&lt;/author&gt;&lt;author&gt;&lt;order&gt;39&lt;/order&gt;&lt;iucrid&gt;&lt;/iucrid&gt;&lt;prefix&gt;Dr&lt;/prefix&gt;&lt;forename&gt;Alba S. J.&lt;/forename&gt;&lt;surname&gt;M&amp;#233;ndez&lt;/surname&gt;&lt;suffix&gt;&lt;/suffix&gt;&lt;addrid&gt;0&lt;/addrid&gt;&lt;email&gt;alba.mendez@desy.de&lt;/email&gt;&lt;corrauthor&gt;&lt;/corrauthor&gt;&lt;contactauthor&gt;&lt;/contactauthor&gt;&lt;phone&gt;&lt;/phone&gt;&lt;fax&gt;&lt;/fax&gt;&lt;note&gt;&lt;/note&gt;&lt;orcid&gt;&lt;/orcid&gt;&lt;/author&gt;&lt;author&gt;&lt;order&gt;40&lt;/order&gt;&lt;iucrid&gt;&lt;/iucrid&gt;&lt;prefix&gt;Mr&lt;/prefix&gt;&lt;forename&gt;Anshuman&lt;/forename&gt;&lt;surname&gt;Mondal&lt;/surname&gt;&lt;suffix&gt;&lt;/suffix&gt;&lt;addrid&gt;14&lt;/addrid&gt;&lt;email&gt;anshuman.mondal@desy.de&lt;/email&gt;&lt;corrauthor&gt;&lt;/corrauthor&gt;&lt;contactauthor&gt;&lt;/contactauthor&gt;&lt;phone&gt;&lt;/phone&gt;&lt;fax&gt;&lt;/fax&gt;&lt;note&gt;&lt;/note&gt;&lt;orcid&gt;&lt;/orcid&gt;&lt;/author&gt;&lt;author&gt;&lt;order&gt;41&lt;/order&gt;&lt;iucrid&gt;&lt;/iucrid&gt;&lt;prefix&gt;Dr&lt;/prefix&gt;&lt;forename&gt;Guillaume&lt;/forename&gt;&lt;surname&gt;Morard&lt;/surname&gt;&lt;suffix&gt;&lt;/suffix&gt;&lt;addrid&gt;15&lt;/addrid&gt;&lt;email&gt;Guillaume.Morard@univ-grenoble-alpes.fr&lt;/email&gt;&lt;corrauthor&gt;&lt;/corrauthor&gt;&lt;contactauthor&gt;&lt;/contactauthor&gt;&lt;phone&gt;&lt;/phone&gt;&lt;fax&gt;&lt;/fax&gt;&lt;note&gt;&lt;/note&gt;&lt;orcid&gt;&lt;/orcid&gt;&lt;/author&gt;&lt;author&gt;&lt;order&gt;42&lt;/order&gt;&lt;iucrid&gt;&lt;/iucrid&gt;&lt;prefix&gt;Dr&lt;/prefix&gt;&lt;forename&gt;Earl F.&lt;/forename&gt;&lt;surname&gt;O'Bannon&lt;/surname&gt;&lt;suffix&gt;&lt;/suffix&gt;&lt;addrid&gt;3&lt;/addrid&gt;&lt;email&gt;obannon2@llnl.gov&lt;/email&gt;&lt;corrauthor&gt;&lt;/corrauthor&gt;&lt;contactauthor&gt;&lt;/contactauthor&gt;&lt;phone&gt;&lt;/phone&gt;&lt;fax&gt;&lt;/fax&gt;&lt;note&gt;&lt;/note&gt;&lt;orcid&gt;&lt;/orcid&gt;&lt;/author&gt;&lt;author&gt;&lt;order&gt;43&lt;/order&gt;&lt;iucrid&gt;&lt;/iucrid&gt;&lt;prefix&gt;Mr&lt;/prefix&gt;&lt;forename&gt;Christoph&lt;/forename&gt;&lt;surname&gt;Otzen&lt;/surname&gt;&lt;suffix&gt;&lt;/suffix&gt;&lt;addrid&gt;12&lt;/addrid&gt;&lt;email&gt;christoph.otzen@uni-jena.de&lt;/email&gt;&lt;corrauthor&gt;&lt;/corrauthor&gt;&lt;contactauthor&gt;&lt;/contactauthor&gt;&lt;phone&gt;&lt;/phone&gt;&lt;fax&gt;&lt;/fax&gt;&lt;note&gt;&lt;/note&gt;&lt;orcid&gt;&lt;/orcid&gt;&lt;/author&gt;&lt;author&gt;&lt;order&gt;44&lt;/order&gt;&lt;iucrid&gt;&lt;/iucrid&gt;&lt;prefix&gt;Dr&lt;/prefix&gt;&lt;forename&gt;Charles M.&lt;/forename&gt;&lt;surname&gt;P&amp;#233;pin&lt;/surname&gt;&lt;suffix&gt;&lt;/suffix&gt;&lt;addrid&gt;16&lt;/addrid&gt;&lt;email&gt;charles.pepin@cea.fr&lt;/email&gt;&lt;corrauthor&gt;&lt;/corrauthor&gt;&lt;contactauthor&gt;&lt;/contactauthor&gt;&lt;phone&gt;&lt;/phone&gt;&lt;fax&gt;&lt;/fax&gt;&lt;note&gt;&lt;/note&gt;&lt;orcid&gt;&lt;/orcid&gt;&lt;/author&gt;&lt;author&gt;&lt;order&gt;45&lt;/order&gt;&lt;iucrid&gt;&lt;/iucrid&gt;&lt;prefix&gt;Dr&lt;/prefix&gt;&lt;forename&gt;Vitali B.&lt;/forename&gt;&lt;surname&gt;Prakapenka&lt;/surname&gt;&lt;suffix&gt;&lt;/suffix&gt;&lt;addrid&gt;5&lt;/addrid&gt;&lt;email&gt;prakapenka@cars.uchicago.edu&lt;/email&gt;&lt;corrauthor&gt;&lt;/corrauthor&gt;&lt;contactauthor&gt;&lt;/contactauthor&gt;&lt;phone&gt;&lt;/phone&gt;&lt;fax&gt;&lt;/fax&gt;&lt;note&gt;&lt;/note&gt;&lt;orcid&gt;&lt;/orcid&gt;&lt;/author&gt;&lt;author&gt;&lt;order&gt;46&lt;/order&gt;&lt;iucrid&gt;&lt;/iucrid&gt;&lt;prefix&gt;Professor&lt;/prefix&gt;&lt;forename&gt;Clemens&lt;/forename&gt;&lt;surname&gt;Prescher&lt;/surname&gt;&lt;suffix&gt;&lt;/suffix&gt;&lt;addrid&gt;17&lt;/addrid&gt;&lt;email&gt;clemens.prescher@geomat.uni-freiburg.de&lt;/email&gt;&lt;corrauthor&gt;&lt;/corrauthor&gt;&lt;contactauthor&gt;&lt;/contactauthor&gt;&lt;phone&gt;&lt;/phone&gt;&lt;fax&gt;&lt;/fax&gt;&lt;note&gt;&lt;/note&gt;&lt;orcid&gt;&lt;/orcid&gt;&lt;/author&gt;&lt;author&gt;&lt;order&gt;47&lt;/order&gt;&lt;iucrid&gt;&lt;/iucrid&gt;&lt;prefix&gt;Dr&lt;/prefix&gt;&lt;forename&gt;Thomas R.&lt;/forename&gt;&lt;surname&gt;Preston&lt;/surname&gt;&lt;suffix&gt;&lt;/suffix&gt;&lt;addrid&gt;1&lt;/addrid&gt;&lt;email&gt;thomas.preston@xfel.eu&lt;/email&gt;&lt;corrauthor&gt;&lt;/corrauthor&gt;&lt;contactauthor&gt;&lt;/contactauthor&gt;&lt;phone&gt;&lt;/phone&gt;&lt;fax&gt;&lt;/fax&gt;&lt;note&gt;&lt;/note&gt;&lt;orcid&gt;&lt;/orcid&gt;&lt;/author&gt;&lt;author&gt;&lt;order&gt;48&lt;/order&gt;&lt;iucrid&gt;&lt;/iucrid&gt;&lt;prefix&gt;Professor&lt;/prefix&gt;&lt;forename&gt;Ronald&lt;/forename&gt;&lt;surname&gt;Redmer&lt;/surname&gt;&lt;suffix&gt;&lt;/suffix&gt;&lt;addrid&gt;18&lt;/addrid&gt;&lt;email&gt;ronald.redmer@uni-rostock.de&lt;/email&gt;&lt;corrauthor&gt;&lt;/corrauthor&gt;&lt;contactauthor&gt;&lt;/contactauthor&gt;&lt;phone&gt;&lt;/phone&gt;&lt;fax&gt;&lt;/fax&gt;&lt;note&gt;&lt;/note&gt;&lt;orcid&gt;&lt;/orcid&gt;&lt;/author&gt;&lt;author&gt;&lt;order&gt;49&lt;/order&gt;&lt;iucrid&gt;&lt;/iucrid&gt;&lt;prefix&gt;Mr&lt;/prefix&gt;&lt;forename&gt;Michael&lt;/forename&gt;&lt;surname&gt;Roeper&lt;/surname&gt;&lt;suffix&gt;&lt;/suffix&gt;&lt;addrid&gt;0&lt;/addrid&gt;&lt;email&gt;michael.roeper@desy.de&lt;/email&gt;&lt;corrauthor&gt;&lt;/corrauthor&gt;&lt;contactauthor&gt;&lt;/contactauthor&gt;&lt;phone&gt;&lt;/phone&gt;&lt;fax&gt;&lt;/fax&gt;&lt;note&gt;&lt;/note&gt;&lt;orcid&gt;&lt;/orcid&gt;&lt;/author&gt;&lt;author&gt;&lt;order&gt;50&lt;/order&gt;&lt;iucrid&gt;&lt;/iucrid&gt;&lt;prefix&gt;Professor&lt;/prefix&gt;&lt;forename&gt;Carmen&lt;/forename&gt;&lt;surname&gt;Sanchez-Valle&lt;/surname&gt;&lt;suffix&gt;&lt;/suffix&gt;&lt;addrid&gt;14&lt;/addrid&gt;&lt;email&gt;sanchezm@uni-muenster.de&lt;/email&gt;&lt;corrauthor&gt;&lt;/corrauthor&gt;&lt;contactauthor&gt;&lt;/contactauthor&gt;&lt;phone&gt;&lt;/phone&gt;&lt;fax&gt;&lt;/fax&gt;&lt;note&gt;&lt;/note&gt;&lt;orcid&gt;&lt;/orcid&gt;&lt;/author&gt;&lt;author&gt;&lt;order&gt;51&lt;/order&gt;&lt;iucrid&gt;&lt;/iucrid&gt;&lt;prefix&gt;Dr&lt;/prefix&gt;&lt;forename&gt;Dean&lt;/forename&gt;&lt;surname&gt;Smith&lt;/surname&gt;&lt;suffix&gt;&lt;/suffix&gt;&lt;addrid&gt;19&lt;/addrid&gt;&lt;email&gt;dean.smith@unlv.edu&lt;/email&gt;&lt;corrauthor&gt;&lt;/corrauthor&gt;&lt;contactauthor&gt;&lt;/contactauthor&gt;&lt;phone&gt;&lt;/phone&gt;&lt;fax&gt;&lt;/fax&gt;&lt;note&gt;Current address: University of Nevada, Las Vegas, Nevada Extreme Conditions Laboratory, 4505 S. Maryland Pkwy, Las Vegas, Nevada 89154, USA&lt;/note&gt;&lt;orcid&gt;&lt;/orcid&gt;&lt;/author&gt;&lt;author&gt;&lt;order&gt;52&lt;/order&gt;&lt;iucrid&gt;&lt;/iucrid&gt;&lt;prefix&gt;Dr&lt;/prefix&gt;&lt;forename&gt;Raymond F.&lt;/forename&gt;&lt;surname&gt;Smith&lt;/surname&gt;&lt;suffix&gt;&lt;/suffix&gt;&lt;addrid&gt;3&lt;/addrid&gt;&lt;email&gt;smith248@llnl.gov&lt;/email&gt;&lt;corrauthor&gt;&lt;/corrauthor&gt;&lt;contactauthor&gt;&lt;/contactauthor&gt;&lt;phone&gt;&lt;/phone&gt;&lt;fax&gt;&lt;/fax&gt;&lt;note&gt;&lt;/note&gt;&lt;orcid&gt;&lt;/orcid&gt;&lt;/author&gt;&lt;author&gt;&lt;order&gt;53&lt;/order&gt;&lt;iucrid&gt;&lt;/iucrid&gt;&lt;prefix&gt;Dr&lt;/prefix&gt;&lt;forename&gt;Daniel&lt;/forename&gt;&lt;surname&gt;Sneed&lt;/surname&gt;&lt;suffix&gt;&lt;/suffix&gt;&lt;addrid&gt;3&lt;/addrid&gt;&lt;email&gt;Sneed2@llnl.gov&lt;/email&gt;&lt;corrauthor&gt;&lt;/corrauthor&gt;&lt;contactauthor&gt;&lt;/contactauthor&gt;&lt;phone&gt;&lt;/phone&gt;&lt;fax&gt;&lt;/fax&gt;&lt;note&gt;&lt;/note&gt;&lt;orcid&gt;&lt;/orcid&gt;&lt;/author&gt;&lt;author&gt;&lt;order&gt;54&lt;/order&gt;&lt;iucrid&gt;&lt;/iucrid&gt;&lt;prefix&gt;Dr&lt;/prefix&gt;&lt;forename&gt;Sergio&lt;/forename&gt;&lt;surname&gt;Speziale&lt;/surname&gt;&lt;suffix&gt;&lt;/suffix&gt;&lt;addrid&gt;20&lt;/addrid&gt;&lt;email&gt;sergio.speziale@gfz-potsdam.de&lt;/email&gt;&lt;corrauthor&gt;&lt;/corrauthor&gt;&lt;contactauthor&gt;&lt;/contactauthor&gt;&lt;phone&gt;&lt;/phone&gt;&lt;fax&gt;&lt;/fax&gt;&lt;note&gt;&lt;/note&gt;&lt;orcid&gt;&lt;/orcid&gt;&lt;/author&gt;&lt;author&gt;&lt;order&gt;55&lt;/order&gt;&lt;iucrid&gt;&lt;/iucrid&gt;&lt;prefix&gt;Mr&lt;/prefix&gt;&lt;forename&gt;Tobias&lt;/forename&gt;&lt;surname&gt;Spitzbart&lt;/surname&gt;&lt;suffix&gt;&lt;/suffix&gt;&lt;addrid&gt;0&lt;/addrid&gt;&lt;email&gt;tobias.spitzbart@desy.de&lt;/email&gt;&lt;corrauthor&gt;&lt;/corrauthor&gt;&lt;contactauthor&gt;&lt;/contactauthor&gt;&lt;phone&gt;&lt;/phone&gt;&lt;fax&gt;&lt;/fax&gt;&lt;note&gt;&lt;/note&gt;&lt;orcid&gt;&lt;/orcid&gt;&lt;/author&gt;&lt;author&gt;&lt;order&gt;56&lt;/order&gt;&lt;iucrid&gt;&lt;/iucrid&gt;&lt;prefix&gt;Dr&lt;/prefix&gt;&lt;forename&gt;Stephan&lt;/forename&gt;&lt;surname&gt;Stern&lt;/surname&gt;&lt;suffix&gt;&lt;/suffix&gt;&lt;addrid&gt;0&lt;/addrid&gt;&lt;email&gt;stephan.stern@x-spectrum.de&lt;/email&gt;&lt;corrauthor&gt;&lt;/corrauthor&gt;&lt;contactauthor&gt;&lt;/contactauthor&gt;&lt;phone&gt;&lt;/phone&gt;&lt;fax&gt;&lt;/fax&gt;&lt;note&gt;Current address: X-Spectrum GmbH, Luruper Hauptstra&amp;#223;e 1, 22547 Hamburg, Germany&lt;/note&gt;&lt;orcid&gt;&lt;/orcid&gt;&lt;/author&gt;&lt;author&gt;&lt;order&gt;57&lt;/order&gt;&lt;iucrid&gt;&lt;/iucrid&gt;&lt;prefix&gt;Dr&lt;/prefix&gt;&lt;forename&gt;Blake T.&lt;/forename&gt;&lt;surname&gt;Sturtevant&lt;/surname&gt;&lt;suffix&gt;&lt;/suffix&gt;&lt;addrid&gt;6&lt;/addrid&gt;&lt;email&gt;bsturtev@lanl.gov&lt;/email&gt;&lt;corrauthor&gt;&lt;/corrauthor&gt;&lt;contactauthor&gt;&lt;/contactauthor&gt;&lt;phone&gt;&lt;/phone&gt;&lt;fax&gt;&lt;/fax&gt;&lt;note&gt;&lt;/note&gt;&lt;orcid&gt;&lt;/orcid&gt;&lt;/author&gt;&lt;author&gt;&lt;order&gt;58&lt;/order&gt;&lt;iucrid&gt;&lt;/iucrid&gt;&lt;prefix&gt;Dr&lt;/prefix&gt;&lt;forename&gt;Jolanta&lt;/forename&gt;&lt;surname&gt;Sztuk-Dambietz&lt;/surname&gt;&lt;suffix&gt;&lt;/suffix&gt;&lt;addrid&gt;1&lt;/addrid&gt;&lt;email&gt;jolanta.sztuk@xfel.eu&lt;/email&gt;&lt;corrauthor&gt;&lt;/corrauthor&gt;&lt;contactauthor&gt;&lt;/contactauthor&gt;&lt;phone&gt;&lt;/phone&gt;&lt;fax&gt;&lt;/fax&gt;&lt;note&gt;&lt;/note&gt;&lt;orcid&gt;&lt;/orcid&gt;&lt;/author&gt;&lt;author&gt;&lt;order&gt;59&lt;/order&gt;&lt;iucrid&gt;&lt;/iucrid&gt;&lt;prefix&gt;Mr&lt;/prefix&gt;&lt;forename&gt;Peter&lt;/forename&gt;&lt;surname&gt;Talkovski&lt;/surname&gt;&lt;suffix&gt;&lt;/suffix&gt;&lt;addrid&gt;0&lt;/addrid&gt;&lt;email&gt;peter.talkovski@desy.de&lt;/email&gt;&lt;corrauthor&gt;&lt;/corrauthor&gt;&lt;contactauthor&gt;&lt;/contactauthor&gt;&lt;phone&gt;&lt;/phone&gt;&lt;fax&gt;&lt;/fax&gt;&lt;note&gt;&lt;/note&gt;&lt;orcid&gt;&lt;/orcid&gt;&lt;/author&gt;&lt;author&gt;&lt;order&gt;60&lt;/order&gt;&lt;iucrid&gt;&lt;/iucrid&gt;&lt;prefix&gt;Dr&lt;/prefix&gt;&lt;forename&gt;Nenad&lt;/forename&gt;&lt;surname&gt;Velisavljevic&lt;/surname&gt;&lt;suffix&gt;&lt;/suffix&gt;&lt;addrid&gt;3&lt;/addrid&gt;&lt;email&gt;velisavljevi1@llnl.gov&lt;/email&gt;&lt;corrauthor&gt;&lt;/corrauthor&gt;&lt;contactauthor&gt;&lt;/contactauthor&gt;&lt;phone&gt;&lt;/phone&gt;&lt;fax&gt;&lt;/fax&gt;&lt;note&gt;&lt;/note&gt;&lt;orcid&gt;&lt;/orcid&gt;&lt;/author&gt;&lt;author&gt;&lt;order&gt;61&lt;/order&gt;&lt;iucrid&gt;&lt;/iucrid&gt;&lt;prefix&gt;Dr&lt;/prefix&gt;&lt;forename&gt;Cara&lt;/forename&gt;&lt;surname&gt;Vennari&lt;/surname&gt;&lt;suffix&gt;&lt;/suffix&gt;&lt;addrid&gt;3&lt;/addrid&gt;&lt;email&gt;vennari1@llnl.gov&lt;/email&gt;&lt;corrauthor&gt;&lt;/corrauthor&gt;&lt;contactauthor&gt;&lt;/contactauthor&gt;&lt;phone&gt;&lt;/phone&gt;&lt;fax&gt;&lt;/fax&gt;&lt;note&gt;&lt;/note&gt;&lt;orcid&gt;&lt;/orcid&gt;&lt;/author&gt;&lt;author&gt;&lt;order&gt;62&lt;/order&gt;&lt;iucrid&gt;&lt;/iucrid&gt;&lt;prefix&gt;Dr&lt;/prefix&gt;&lt;forename&gt;Zhongyan&lt;/forename&gt;&lt;surname&gt;Wu&lt;/surname&gt;&lt;suffix&gt;&lt;/suffix&gt;&lt;addrid&gt;11&lt;/addrid&gt;&lt;email&gt;wuzhongyan@hanyang.ac.kr&lt;/email&gt;&lt;corrauthor&gt;&lt;/corrauthor&gt;&lt;contactauthor&gt;&lt;/contactauthor&gt;&lt;phone&gt;&lt;/phone&gt;&lt;fax&gt;&lt;/fax&gt;&lt;note&gt;&lt;/note&gt;&lt;orcid&gt;&lt;/orcid&gt;&lt;/author&gt;&lt;author&gt;&lt;order&gt;63&lt;/order&gt;&lt;iucrid&gt;&lt;/iucrid&gt;&lt;prefix&gt;Professor&lt;/prefix&gt;&lt;forename&gt;Choong-Shik&lt;/forename&gt;&lt;surname&gt;Yoo&lt;/surname&gt;&lt;suffix&gt;&lt;/suffix&gt;&lt;addrid&gt;9&lt;/addrid&gt;&lt;email&gt;csyoo@wsu.edu&lt;/email&gt;&lt;corrauthor&gt;&lt;/corrauthor&gt;&lt;contactauthor&gt;&lt;/contactauthor&gt;&lt;phone&gt;&lt;/phone&gt;&lt;fax&gt;&lt;/fax&gt;&lt;note&gt;&lt;/note&gt;&lt;orcid&gt;&lt;/orcid&gt;&lt;/author&gt;&lt;author&gt;&lt;order&gt;64&lt;/order&gt;&lt;iucrid&gt;&lt;/iucrid&gt;&lt;prefix&gt;Dr&lt;/prefix&gt;&lt;forename&gt;Ulf&lt;/forename&gt;&lt;surname&gt;Zastrau&lt;/surname&gt;&lt;suffix&gt;&lt;/suffix&gt;&lt;addrid&gt;1&lt;/addrid&gt;&lt;email&gt;ulf.zastrau@xfel.eu&lt;/email&gt;&lt;corrauthor&gt;&lt;/corrauthor&gt;&lt;contactauthor&gt;&lt;/contactauthor&gt;&lt;phone&gt;&lt;/phone&gt;&lt;fax&gt;&lt;/fax&gt;&lt;note&gt;&lt;/note&gt;&lt;orcid&gt;&lt;/orcid&gt;&lt;/author&gt;&lt;author&gt;&lt;order&gt;65&lt;/order&gt;&lt;iucrid&gt;&lt;/iucrid&gt;&lt;prefix&gt;Dr&lt;/prefix&gt;&lt;forename&gt;Zsolt&lt;/forename&gt;&lt;surname&gt;Jenei&lt;/surname&gt;&lt;suffix&gt;&lt;/suffix&gt;&lt;addrid&gt;3&lt;/addrid&gt;&lt;email&gt;jenei1@llnl.gov&lt;/email&gt;&lt;corrauthor&gt;&lt;/corrauthor&gt;&lt;contactauthor&gt;&lt;/contactauthor&gt;&lt;phone&gt;&lt;/phone&gt;&lt;fax&gt;&lt;/fax&gt;&lt;note&gt;&lt;/note&gt;&lt;orcid&gt;&lt;/orcid&gt;&lt;/author&gt;&lt;author&gt;&lt;order&gt;66&lt;/order&gt;&lt;iucrid&gt;&lt;/iucrid&gt;&lt;prefix&gt;Dr&lt;/prefix&gt;&lt;forename&gt;Hanns-Peter&lt;/forename&gt;&lt;surname&gt;Liermann&lt;/surname&gt;&lt;suffix&gt;&lt;/suffix&gt;&lt;addrid&gt;0&lt;/addrid&gt;&lt;email&gt;hanns-peter.liermann@desy.de&lt;/email&gt;&lt;corrauthor&gt;y&lt;/corrauthor&gt;&lt;contactauthor&gt;&lt;/contactauthor&gt;&lt;phone&gt;&lt;/phone&gt;&lt;fax&gt;&lt;/fax&gt;&lt;note&gt;&lt;/note&gt;&lt;orcid&gt;&lt;/orcid&gt;&lt;/author&gt;&lt;/iucr:authors&gt;&lt;iucr:addresses xmlns:iucr=&quot;http://www.iucr.org/publaddresses&quot;&gt;&lt;address&gt;&lt;id&gt;0&lt;/id&gt;&lt;department&gt;Deutsches Elektronen-Synchrotron DESY&lt;/department&gt;&lt;organization&gt;&lt;/organization&gt;&lt;street&gt;Notkestr. 85&lt;/street&gt;&lt;city&gt;22607 Hamburg&lt;/city&gt;&lt;province&gt;&lt;/province&gt;&lt;code&gt;&lt;/code&gt;&lt;country&gt;Germany&lt;/country&gt;&lt;/address&gt;&lt;address&gt;&lt;id&gt;1&lt;/id&gt;&lt;department&gt;European XFEL&lt;/department&gt;&lt;organization&gt;&lt;/organization&gt;&lt;street&gt;Holzkoppel 4&lt;/street&gt;&lt;city&gt;Schenefeld&lt;/city&gt;&lt;province&gt;&lt;/province&gt;&lt;code&gt;22869&lt;/code&gt;&lt;country&gt;Germany&lt;/country&gt;&lt;/address&gt;&lt;address&gt;&lt;id&gt;2&lt;/id&gt;&lt;department&gt;The School of Physics and Astronomy, Centre for Science at Extreme Conditions, and SUPA, University of Edinburgh&lt;/department&gt;&lt;organization&gt;&lt;/organization&gt;&lt;street&gt;Peter Guthrie Tait Road&lt;/street&gt;&lt;city&gt;Edinburgh&lt;/city&gt;&lt;province&gt;&lt;/province&gt;&lt;code&gt;EH9 3FD&lt;/code&gt;&lt;country&gt;UK&lt;/country&gt;&lt;/address&gt;&lt;address&gt;&lt;id&gt;3&lt;/id&gt;&lt;department&gt;Lawrence Livermore National Laboratory, Physical and Life Science Directorate&lt;/department&gt;&lt;organization&gt;&lt;/organization&gt;&lt;street&gt;&lt;/street&gt;&lt;city&gt;Livermore&lt;/city&gt;&lt;province&gt;California&lt;/province&gt;&lt;code&gt;94550&lt;/code&gt;&lt;country&gt;United States&lt;/country&gt;&lt;/address&gt;&lt;address&gt;&lt;id&gt;4&lt;/id&gt;&lt;department&gt;University of Oxford, Department of Earth Sciences&lt;/department&gt;&lt;organization&gt;&lt;/organization&gt;&lt;street&gt;South Parks Road&lt;/street&gt;&lt;city&gt;Oxford&lt;/city&gt;&lt;province&gt;&lt;/province&gt;&lt;code&gt;OX1 3AN&lt;/code&gt;&lt;country&gt;UK&lt;/country&gt;&lt;/address&gt;&lt;address&gt;&lt;id&gt;5&lt;/id&gt;&lt;department&gt;The University of Chicago, Consortium for Advanced Radiation Sources&lt;/department&gt;&lt;organization&gt;&lt;/organization&gt;&lt;street&gt;5640 South Ellis Avenue Chicago&lt;/street&gt;&lt;city&gt;&lt;/city&gt;&lt;province&gt;&lt;/province&gt;&lt;code&gt;IL 60637&lt;/code&gt;&lt;country&gt;USA&lt;/country&gt;&lt;/address&gt;&lt;address&gt;&lt;id&gt;6&lt;/id&gt;&lt;department&gt;Los Alamos National Laboratory, Shock and Detonation Physics (M-9)&lt;/department&gt;&lt;organization&gt;&lt;/organization&gt;&lt;street&gt;PO 1663&lt;/street&gt;&lt;city&gt;Los Alamos&lt;/city&gt;&lt;province&gt;&lt;/province&gt;&lt;code&gt;NM 87545&lt;/code&gt;&lt;country&gt;USA&lt;/country&gt;&lt;/address&gt;&lt;address&gt;&lt;id&gt;7&lt;/id&gt;&lt;department&gt;Stony Brook University, Department of Geosciences, 255 Earth and Space Sciences Building (ESS), Stony Brook University&lt;/department&gt;&lt;organization&gt;&lt;/organization&gt;&lt;street&gt;&lt;/street&gt;&lt;city&gt;Stony Brook&lt;/city&gt;&lt;province&gt;&lt;/province&gt;&lt;code&gt;NY 11794-2100&lt;/code&gt;&lt;country&gt;USA&lt;/country&gt;&lt;/address&gt;&lt;address&gt;&lt;id&gt;8&lt;/id&gt;&lt;department&gt;Carnegie Science, Earth and Planets Laboratory&lt;/department&gt;&lt;organization&gt;&lt;/organization&gt;&lt;street&gt;5241 Broad Branch Road, NW&lt;/street&gt;&lt;city&gt;Washington&lt;/city&gt;&lt;province&gt;&lt;/province&gt;&lt;code&gt;DC 20015&lt;/code&gt;&lt;country&gt;USA&lt;/country&gt;&lt;/address&gt;&lt;address&gt;&lt;id&gt;9&lt;/id&gt;&lt;department&gt;Washington State University, Department of Chemistry and Institute for Shock Physics&lt;/department&gt;&lt;organization&gt;&lt;/organization&gt;&lt;street&gt;&lt;/street&gt;&lt;city&gt;Pullman, Washington&lt;/city&gt;&lt;province&gt;&lt;/province&gt;&lt;code&gt;99164&lt;/code&gt;&lt;country&gt;USA&lt;/country&gt;&lt;/address&gt;&lt;address&gt;&lt;id&gt;10&lt;/id&gt;&lt;department&gt;Technische Universit&amp;#228;t Dortmund, Fakult&amp;#228;t Physik/DELTA&lt;/department&gt;&lt;organization&gt;&lt;/organization&gt;&lt;street&gt;Maria-Goeppert-Mayer-Stra&amp;#223;e 2&lt;/street&gt;&lt;city&gt;Dortmund&lt;/city&gt;&lt;province&gt;&lt;/province&gt;&lt;code&gt;44227&lt;/code&gt;&lt;country&gt;Germany&lt;/country&gt;&lt;/address&gt;&lt;address&gt;&lt;id&gt;11&lt;/id&gt;&lt;department&gt;Hanyang University, Department of Physics&lt;/department&gt;&lt;organization&gt;&lt;/organization&gt;&lt;street&gt;17 Haengdang Dong&lt;/street&gt;&lt;city&gt;&lt;/city&gt;&lt;province&gt;Seongdong gu Seoul&lt;/province&gt;&lt;code&gt;133-791 Korea&lt;/code&gt;&lt;country&gt;Republic of Korea&lt;/country&gt;&lt;/address&gt;&lt;address&gt;&lt;id&gt;12&lt;/id&gt;&lt;department&gt;Friedrich-Schiller-Universit&amp;#228;t Jena, Institut f&amp;#252;r Geowissenschaften&lt;/department&gt;&lt;organization&gt;&lt;/organization&gt;&lt;street&gt;Burgweg 11&lt;/street&gt;&lt;city&gt;Jena&lt;/city&gt;&lt;province&gt;&lt;/province&gt;&lt;code&gt;07749&lt;/code&gt;&lt;country&gt;Germany&lt;/country&gt;&lt;/address&gt;&lt;address&gt;&lt;id&gt;13&lt;/id&gt;&lt;department&gt;SLAC National Accelerator Laboratory, 2575 Sand Hill Road, Menlo Park, CA 94025, USA&lt;/department&gt;&lt;organization&gt;&lt;/organization&gt;&lt;street&gt;&lt;/street&gt;&lt;city&gt;&lt;/city&gt;&lt;province&gt;&lt;/province&gt;&lt;code&gt;&lt;/code&gt;&lt;country&gt;UK&lt;/country&gt;&lt;/address&gt;&lt;address&gt;&lt;id&gt;14&lt;/id&gt;&lt;department&gt;Westf&amp;#228;lische Wilhelms-Universit&amp;#228;t M&amp;#252;nster, Institut f&amp;#252;r Mineralogie&lt;/department&gt;&lt;organization&gt;&lt;/organization&gt;&lt;street&gt;Corrensstra&amp;#223;e 24&lt;/street&gt;&lt;city&gt;M&amp;#252;nster&lt;/city&gt;&lt;province&gt;&lt;/province&gt;&lt;code&gt;48149&lt;/code&gt;&lt;country&gt;Germany&lt;/country&gt;&lt;/address&gt;&lt;address&gt;&lt;id&gt;15&lt;/id&gt;&lt;department&gt;Univ. Grenoble Alpes, Univ. Savoie Mont Blanc, CNRS, IRD, Univ. Gustave Eiffel, ISTerre, 38000 Grenoble, France&lt;/department&gt;&lt;organization&gt;&lt;/organization&gt;&lt;street&gt;Cedex 9&lt;/street&gt;&lt;city&gt;Grenoble&lt;/city&gt;&lt;province&gt;&lt;/province&gt;&lt;code&gt;38058&lt;/code&gt;&lt;country&gt;France&lt;/country&gt;&lt;/address&gt;&lt;address&gt;&lt;id&gt;16&lt;/id&gt;&lt;department&gt;CEA, DAM,DIF, 91297 Arpajon Cedex, France and Universit&amp;#233; Paris-Saclay, CEA, Laboratoire Mati&amp;#232;re en Conditions Extr&amp;#234;mes, 91680 Bruy&amp;#232;res-le-Ch&amp;#226;tel&lt;/department&gt;&lt;organization&gt;&lt;/organization&gt;&lt;street&gt;&lt;/street&gt;&lt;city&gt;&lt;/city&gt;&lt;province&gt;&lt;/province&gt;&lt;code&gt;&lt;/code&gt;&lt;country&gt;France&lt;/country&gt;&lt;/address&gt;&lt;address&gt;&lt;id&gt;17&lt;/id&gt;&lt;department&gt;Albert-Ludwigs University of Freiburg, Institute of Earth and Environmental Sciences&lt;/department&gt;&lt;organization&gt;&lt;/organization&gt;&lt;street&gt;Hermann-Herder-Str. 5&lt;/street&gt;&lt;city&gt;Freiburg&lt;/city&gt;&lt;province&gt;&lt;/province&gt;&lt;code&gt;D-79104&lt;/code&gt;&lt;country&gt;Germany&lt;/country&gt;&lt;/address&gt;&lt;address&gt;&lt;id&gt;18&lt;/id&gt;&lt;department&gt;Universit&amp;#228;t Rostock, Institut f&amp;#252;r Physik&lt;/department&gt;&lt;organization&gt;&lt;/organization&gt;&lt;street&gt;Albert-Einstein-Stra&amp;#223;e 23 - 24&lt;/street&gt;&lt;city&gt;&lt;/city&gt;&lt;province&gt;&lt;/province&gt;&lt;code&gt;18059&lt;/code&gt;&lt;country&gt;Germany&lt;/country&gt;&lt;/address&gt;&lt;address&gt;&lt;id&gt;19&lt;/id&gt;&lt;department&gt;Argonne National Laboratory (ANL), High Pressure Collaborative Access Team (HPCAT), X-ray Science Division (XSD)&lt;/department&gt;&lt;organization&gt;&lt;/organization&gt;&lt;street&gt;9700 S. Cass Avenue&lt;/street&gt;&lt;city&gt;Lemont&lt;/city&gt;&lt;province&gt;IL&lt;/province&gt;&lt;code&gt;IL 60439&lt;/code&gt;&lt;country&gt;USA&lt;/country&gt;&lt;/address&gt;&lt;address&gt;&lt;id&gt;20&lt;/id&gt;&lt;department&gt;Helmholtz-Zentrum Potsdam - Deutsches GeoForschungsZentrum (GFZ), Department 3: Geochemie - Chemie und Physik der Geomaterialien&lt;/department&gt;&lt;organization&gt;&lt;/organization&gt;&lt;street&gt;Telegrafenberg 14473&lt;/street&gt;&lt;city&gt;Potsdam&lt;/city&gt;&lt;province&gt;&lt;/province&gt;&lt;code&gt;&lt;/code&gt;&lt;country&gt;Germany&lt;/country&gt;&lt;/address&gt;&lt;/iucr:addresses&gt;&lt;keywords&gt;Extreme conditions science; X-ray free electron lasers; Diamond anvil cells; Dynamic compression&lt;/keywords&gt;&lt;synopsis&gt;A MHz X-ray diffraction set-up for the investigation of material behaviour under dynamic compression in the diamond anvil cell at intermediate strain rates has been developed at the High Energy Density (HED) instrument at the European XFEL.&lt;/synopsis&gt;&lt;abstract&gt;&lt;/abstract&gt;&lt;titleHtml&gt;&lt;![CDATA[ A MHz X-ray diffraction set-up for dynamic compression experiments in the diamond anvil cell ]]&gt;&lt;/titleHtml&gt;&lt;synopsisHtml&gt;&lt;![CDATA[ A MHz X-ray diffraction set-up for the investigation of material behaviour under dynamic compression in the diamond anvil cell at intermediate strain rates has been developed at the High Energy Density (HED) instrument at the European XFEL. ]]&gt;&lt;/synopsisHtml&gt;&lt;abstractHtml&gt;&lt;![CDATA[  ]]&gt;&lt;/abstractHtml&gt;&lt;/iucr:document&gt;"/>
    <w:docVar w:name="iucrfield" w:val=" "/>
    <w:docVar w:name="iucrjournal" w:val="Journal of Synchrotron Radiation"/>
  </w:docVars>
  <w:rsids>
    <w:rsidRoot w:val="008D471B"/>
    <w:rsid w:val="0000259B"/>
    <w:rsid w:val="00023E24"/>
    <w:rsid w:val="00024728"/>
    <w:rsid w:val="00030155"/>
    <w:rsid w:val="0003672D"/>
    <w:rsid w:val="00040F39"/>
    <w:rsid w:val="00041632"/>
    <w:rsid w:val="00051613"/>
    <w:rsid w:val="00063454"/>
    <w:rsid w:val="00065DBB"/>
    <w:rsid w:val="0006720B"/>
    <w:rsid w:val="00071BF1"/>
    <w:rsid w:val="000839FF"/>
    <w:rsid w:val="00092DCD"/>
    <w:rsid w:val="000A07DE"/>
    <w:rsid w:val="000B73A1"/>
    <w:rsid w:val="000D2140"/>
    <w:rsid w:val="000D582E"/>
    <w:rsid w:val="000D74CF"/>
    <w:rsid w:val="000E553E"/>
    <w:rsid w:val="000F6D5E"/>
    <w:rsid w:val="000F771C"/>
    <w:rsid w:val="0010296D"/>
    <w:rsid w:val="00103BE8"/>
    <w:rsid w:val="00104DCE"/>
    <w:rsid w:val="001174FA"/>
    <w:rsid w:val="00120A31"/>
    <w:rsid w:val="001257AE"/>
    <w:rsid w:val="001266B1"/>
    <w:rsid w:val="00134622"/>
    <w:rsid w:val="00137C5E"/>
    <w:rsid w:val="00142B90"/>
    <w:rsid w:val="00142F8C"/>
    <w:rsid w:val="00145E25"/>
    <w:rsid w:val="0015079F"/>
    <w:rsid w:val="0015544F"/>
    <w:rsid w:val="0016061B"/>
    <w:rsid w:val="00181BE8"/>
    <w:rsid w:val="00183451"/>
    <w:rsid w:val="00187A6A"/>
    <w:rsid w:val="001918C5"/>
    <w:rsid w:val="001A0702"/>
    <w:rsid w:val="001A0A59"/>
    <w:rsid w:val="001A2EC5"/>
    <w:rsid w:val="001A48B0"/>
    <w:rsid w:val="001B2552"/>
    <w:rsid w:val="001C0A9A"/>
    <w:rsid w:val="001C6879"/>
    <w:rsid w:val="001C6B08"/>
    <w:rsid w:val="001D2F4A"/>
    <w:rsid w:val="001D5B87"/>
    <w:rsid w:val="001E567C"/>
    <w:rsid w:val="001E666E"/>
    <w:rsid w:val="001E6987"/>
    <w:rsid w:val="001F7953"/>
    <w:rsid w:val="0020499E"/>
    <w:rsid w:val="002113EE"/>
    <w:rsid w:val="002138D7"/>
    <w:rsid w:val="00213AED"/>
    <w:rsid w:val="00227393"/>
    <w:rsid w:val="00231BBE"/>
    <w:rsid w:val="002334FA"/>
    <w:rsid w:val="002376E5"/>
    <w:rsid w:val="00257DBA"/>
    <w:rsid w:val="0026106E"/>
    <w:rsid w:val="002641D6"/>
    <w:rsid w:val="00264D89"/>
    <w:rsid w:val="00267645"/>
    <w:rsid w:val="0027114E"/>
    <w:rsid w:val="002738D1"/>
    <w:rsid w:val="00283EC5"/>
    <w:rsid w:val="00290A3E"/>
    <w:rsid w:val="002918A4"/>
    <w:rsid w:val="002A22F9"/>
    <w:rsid w:val="002B3DE4"/>
    <w:rsid w:val="002C5F2E"/>
    <w:rsid w:val="002C660C"/>
    <w:rsid w:val="002D0CE3"/>
    <w:rsid w:val="002D1368"/>
    <w:rsid w:val="002E49E4"/>
    <w:rsid w:val="002F0013"/>
    <w:rsid w:val="002F10D4"/>
    <w:rsid w:val="002F595B"/>
    <w:rsid w:val="002F6232"/>
    <w:rsid w:val="00303A1E"/>
    <w:rsid w:val="00314350"/>
    <w:rsid w:val="0031576B"/>
    <w:rsid w:val="00331A2F"/>
    <w:rsid w:val="00337706"/>
    <w:rsid w:val="00342EBC"/>
    <w:rsid w:val="00345AC9"/>
    <w:rsid w:val="0034635F"/>
    <w:rsid w:val="00352FAE"/>
    <w:rsid w:val="003616DD"/>
    <w:rsid w:val="00362DE4"/>
    <w:rsid w:val="00373D7A"/>
    <w:rsid w:val="00374AF0"/>
    <w:rsid w:val="00377288"/>
    <w:rsid w:val="003806AC"/>
    <w:rsid w:val="003811F2"/>
    <w:rsid w:val="00386FF2"/>
    <w:rsid w:val="003900F1"/>
    <w:rsid w:val="00394571"/>
    <w:rsid w:val="003A2F42"/>
    <w:rsid w:val="003A469E"/>
    <w:rsid w:val="003B0B7D"/>
    <w:rsid w:val="003B474D"/>
    <w:rsid w:val="003C4A5A"/>
    <w:rsid w:val="003C5DD2"/>
    <w:rsid w:val="003D3F57"/>
    <w:rsid w:val="003D52A6"/>
    <w:rsid w:val="003E0B25"/>
    <w:rsid w:val="003F5DEC"/>
    <w:rsid w:val="003F79DC"/>
    <w:rsid w:val="00401B26"/>
    <w:rsid w:val="0040622B"/>
    <w:rsid w:val="00407DAB"/>
    <w:rsid w:val="0042053F"/>
    <w:rsid w:val="00426E7D"/>
    <w:rsid w:val="00435660"/>
    <w:rsid w:val="004440FC"/>
    <w:rsid w:val="00451F0B"/>
    <w:rsid w:val="00454A46"/>
    <w:rsid w:val="00463F86"/>
    <w:rsid w:val="0046424E"/>
    <w:rsid w:val="00482E5E"/>
    <w:rsid w:val="00490352"/>
    <w:rsid w:val="00491CF7"/>
    <w:rsid w:val="00491DFC"/>
    <w:rsid w:val="004931B6"/>
    <w:rsid w:val="00494386"/>
    <w:rsid w:val="004949F9"/>
    <w:rsid w:val="00496176"/>
    <w:rsid w:val="004C4561"/>
    <w:rsid w:val="004D095E"/>
    <w:rsid w:val="004D549D"/>
    <w:rsid w:val="004D6135"/>
    <w:rsid w:val="004D6C06"/>
    <w:rsid w:val="004E199D"/>
    <w:rsid w:val="004E5EB9"/>
    <w:rsid w:val="004E6A5B"/>
    <w:rsid w:val="005178EA"/>
    <w:rsid w:val="005238B0"/>
    <w:rsid w:val="00530B91"/>
    <w:rsid w:val="00533072"/>
    <w:rsid w:val="005335C1"/>
    <w:rsid w:val="00534562"/>
    <w:rsid w:val="0054049C"/>
    <w:rsid w:val="00540823"/>
    <w:rsid w:val="00545DA0"/>
    <w:rsid w:val="00555D3D"/>
    <w:rsid w:val="0056303A"/>
    <w:rsid w:val="00566236"/>
    <w:rsid w:val="005A19C5"/>
    <w:rsid w:val="005A3896"/>
    <w:rsid w:val="005A4E94"/>
    <w:rsid w:val="005B34E1"/>
    <w:rsid w:val="005B6AB5"/>
    <w:rsid w:val="005C5539"/>
    <w:rsid w:val="005C5AF6"/>
    <w:rsid w:val="005C632C"/>
    <w:rsid w:val="005D244B"/>
    <w:rsid w:val="005E2082"/>
    <w:rsid w:val="005E54BD"/>
    <w:rsid w:val="005F1358"/>
    <w:rsid w:val="005F188D"/>
    <w:rsid w:val="005F2A20"/>
    <w:rsid w:val="005F3A61"/>
    <w:rsid w:val="005F6B04"/>
    <w:rsid w:val="006015BF"/>
    <w:rsid w:val="00602B42"/>
    <w:rsid w:val="00607D71"/>
    <w:rsid w:val="006129BA"/>
    <w:rsid w:val="00625C6E"/>
    <w:rsid w:val="00625F43"/>
    <w:rsid w:val="00626A02"/>
    <w:rsid w:val="00631871"/>
    <w:rsid w:val="0063411E"/>
    <w:rsid w:val="00645ACB"/>
    <w:rsid w:val="0064717E"/>
    <w:rsid w:val="00654AD7"/>
    <w:rsid w:val="00661D1C"/>
    <w:rsid w:val="00662BDB"/>
    <w:rsid w:val="00662F23"/>
    <w:rsid w:val="00666DC9"/>
    <w:rsid w:val="00666E7D"/>
    <w:rsid w:val="006722F5"/>
    <w:rsid w:val="00675BA5"/>
    <w:rsid w:val="0068102D"/>
    <w:rsid w:val="00683CB4"/>
    <w:rsid w:val="006846A6"/>
    <w:rsid w:val="00692299"/>
    <w:rsid w:val="006930CB"/>
    <w:rsid w:val="0069442C"/>
    <w:rsid w:val="00694F8C"/>
    <w:rsid w:val="00696C98"/>
    <w:rsid w:val="006A0458"/>
    <w:rsid w:val="006A1872"/>
    <w:rsid w:val="006A788C"/>
    <w:rsid w:val="006B6CFB"/>
    <w:rsid w:val="006C021A"/>
    <w:rsid w:val="006C0291"/>
    <w:rsid w:val="006C0BA3"/>
    <w:rsid w:val="006E1911"/>
    <w:rsid w:val="006E3E5C"/>
    <w:rsid w:val="006F261D"/>
    <w:rsid w:val="006F6288"/>
    <w:rsid w:val="00710A0D"/>
    <w:rsid w:val="00713D32"/>
    <w:rsid w:val="007230E8"/>
    <w:rsid w:val="00724088"/>
    <w:rsid w:val="00733A7E"/>
    <w:rsid w:val="007646E5"/>
    <w:rsid w:val="00765C68"/>
    <w:rsid w:val="007660B8"/>
    <w:rsid w:val="007739F7"/>
    <w:rsid w:val="0077632A"/>
    <w:rsid w:val="00786752"/>
    <w:rsid w:val="00791087"/>
    <w:rsid w:val="00793A82"/>
    <w:rsid w:val="007A0E39"/>
    <w:rsid w:val="007A106C"/>
    <w:rsid w:val="007A4AB3"/>
    <w:rsid w:val="007A546D"/>
    <w:rsid w:val="007B2FF8"/>
    <w:rsid w:val="007E232F"/>
    <w:rsid w:val="007E7870"/>
    <w:rsid w:val="007F6B56"/>
    <w:rsid w:val="00804025"/>
    <w:rsid w:val="008126D6"/>
    <w:rsid w:val="00812FB1"/>
    <w:rsid w:val="008133A6"/>
    <w:rsid w:val="00815DAC"/>
    <w:rsid w:val="008168CB"/>
    <w:rsid w:val="00823E64"/>
    <w:rsid w:val="008303FB"/>
    <w:rsid w:val="0083249C"/>
    <w:rsid w:val="008579E4"/>
    <w:rsid w:val="0086389D"/>
    <w:rsid w:val="008652F4"/>
    <w:rsid w:val="008702ED"/>
    <w:rsid w:val="00875749"/>
    <w:rsid w:val="008774A8"/>
    <w:rsid w:val="00880675"/>
    <w:rsid w:val="00883259"/>
    <w:rsid w:val="0088588B"/>
    <w:rsid w:val="00885D4E"/>
    <w:rsid w:val="00896A09"/>
    <w:rsid w:val="008976C2"/>
    <w:rsid w:val="008A1199"/>
    <w:rsid w:val="008A4FBB"/>
    <w:rsid w:val="008C255E"/>
    <w:rsid w:val="008C274A"/>
    <w:rsid w:val="008D0A82"/>
    <w:rsid w:val="008D2B09"/>
    <w:rsid w:val="008D471B"/>
    <w:rsid w:val="008F7C86"/>
    <w:rsid w:val="00905A50"/>
    <w:rsid w:val="00915C4A"/>
    <w:rsid w:val="00925A6C"/>
    <w:rsid w:val="0092601B"/>
    <w:rsid w:val="00926B83"/>
    <w:rsid w:val="00931B9D"/>
    <w:rsid w:val="00931C4D"/>
    <w:rsid w:val="0096341E"/>
    <w:rsid w:val="00967C24"/>
    <w:rsid w:val="0098177D"/>
    <w:rsid w:val="00984A50"/>
    <w:rsid w:val="00992C0E"/>
    <w:rsid w:val="00995D05"/>
    <w:rsid w:val="009A7A19"/>
    <w:rsid w:val="009B19C5"/>
    <w:rsid w:val="009B54B7"/>
    <w:rsid w:val="009C02CD"/>
    <w:rsid w:val="009C1C47"/>
    <w:rsid w:val="009D050A"/>
    <w:rsid w:val="009D0DC5"/>
    <w:rsid w:val="009D7C83"/>
    <w:rsid w:val="009E102D"/>
    <w:rsid w:val="009F1E15"/>
    <w:rsid w:val="009F2828"/>
    <w:rsid w:val="009F2D0E"/>
    <w:rsid w:val="009F417F"/>
    <w:rsid w:val="00A02E9B"/>
    <w:rsid w:val="00A03CAA"/>
    <w:rsid w:val="00A108E8"/>
    <w:rsid w:val="00A159C0"/>
    <w:rsid w:val="00A172CF"/>
    <w:rsid w:val="00A20AFF"/>
    <w:rsid w:val="00A23523"/>
    <w:rsid w:val="00A23986"/>
    <w:rsid w:val="00A26290"/>
    <w:rsid w:val="00A343B1"/>
    <w:rsid w:val="00A4199C"/>
    <w:rsid w:val="00A42BEA"/>
    <w:rsid w:val="00A559EC"/>
    <w:rsid w:val="00A57F88"/>
    <w:rsid w:val="00A63C0F"/>
    <w:rsid w:val="00A762ED"/>
    <w:rsid w:val="00A76A38"/>
    <w:rsid w:val="00A82AE4"/>
    <w:rsid w:val="00A8790A"/>
    <w:rsid w:val="00A87FD1"/>
    <w:rsid w:val="00A91B09"/>
    <w:rsid w:val="00A96371"/>
    <w:rsid w:val="00AC4E0C"/>
    <w:rsid w:val="00AC6F36"/>
    <w:rsid w:val="00AD5E4D"/>
    <w:rsid w:val="00AE25B5"/>
    <w:rsid w:val="00AE3B9F"/>
    <w:rsid w:val="00AE5401"/>
    <w:rsid w:val="00B00CB8"/>
    <w:rsid w:val="00B01AD7"/>
    <w:rsid w:val="00B02976"/>
    <w:rsid w:val="00B02B3A"/>
    <w:rsid w:val="00B05F4F"/>
    <w:rsid w:val="00B10BF5"/>
    <w:rsid w:val="00B124DE"/>
    <w:rsid w:val="00B14312"/>
    <w:rsid w:val="00B200FD"/>
    <w:rsid w:val="00B30A49"/>
    <w:rsid w:val="00B50197"/>
    <w:rsid w:val="00B610E6"/>
    <w:rsid w:val="00B64650"/>
    <w:rsid w:val="00B648A4"/>
    <w:rsid w:val="00B64F22"/>
    <w:rsid w:val="00B72923"/>
    <w:rsid w:val="00B73E84"/>
    <w:rsid w:val="00B8280C"/>
    <w:rsid w:val="00B828AE"/>
    <w:rsid w:val="00B86D43"/>
    <w:rsid w:val="00B92F57"/>
    <w:rsid w:val="00BA30E2"/>
    <w:rsid w:val="00BA42F9"/>
    <w:rsid w:val="00BB78F4"/>
    <w:rsid w:val="00BC10B3"/>
    <w:rsid w:val="00BC7262"/>
    <w:rsid w:val="00BD3BB0"/>
    <w:rsid w:val="00BD6707"/>
    <w:rsid w:val="00BE333C"/>
    <w:rsid w:val="00BF7EA5"/>
    <w:rsid w:val="00C00DBD"/>
    <w:rsid w:val="00C01FBD"/>
    <w:rsid w:val="00C14AA5"/>
    <w:rsid w:val="00C222FA"/>
    <w:rsid w:val="00C251DC"/>
    <w:rsid w:val="00C302CE"/>
    <w:rsid w:val="00C401F3"/>
    <w:rsid w:val="00C469BC"/>
    <w:rsid w:val="00C4722D"/>
    <w:rsid w:val="00C50072"/>
    <w:rsid w:val="00C505FC"/>
    <w:rsid w:val="00C50AC0"/>
    <w:rsid w:val="00C575E8"/>
    <w:rsid w:val="00C64406"/>
    <w:rsid w:val="00C64DEB"/>
    <w:rsid w:val="00C703AA"/>
    <w:rsid w:val="00C75A1C"/>
    <w:rsid w:val="00C76B5F"/>
    <w:rsid w:val="00C851BD"/>
    <w:rsid w:val="00C90EDD"/>
    <w:rsid w:val="00C94186"/>
    <w:rsid w:val="00C94AFF"/>
    <w:rsid w:val="00CA037C"/>
    <w:rsid w:val="00CA1496"/>
    <w:rsid w:val="00CA662C"/>
    <w:rsid w:val="00CB0365"/>
    <w:rsid w:val="00CB48C4"/>
    <w:rsid w:val="00CD6939"/>
    <w:rsid w:val="00CE00EC"/>
    <w:rsid w:val="00CE61A7"/>
    <w:rsid w:val="00CF5233"/>
    <w:rsid w:val="00CF755F"/>
    <w:rsid w:val="00D001F9"/>
    <w:rsid w:val="00D118E0"/>
    <w:rsid w:val="00D133D7"/>
    <w:rsid w:val="00D13C9C"/>
    <w:rsid w:val="00D21B4F"/>
    <w:rsid w:val="00D24A5C"/>
    <w:rsid w:val="00D372FC"/>
    <w:rsid w:val="00D47DC8"/>
    <w:rsid w:val="00D61203"/>
    <w:rsid w:val="00D675CD"/>
    <w:rsid w:val="00D703AC"/>
    <w:rsid w:val="00D80FC1"/>
    <w:rsid w:val="00D909DC"/>
    <w:rsid w:val="00DB3646"/>
    <w:rsid w:val="00DC049B"/>
    <w:rsid w:val="00DC0B6B"/>
    <w:rsid w:val="00DC1E15"/>
    <w:rsid w:val="00DC362F"/>
    <w:rsid w:val="00DD768E"/>
    <w:rsid w:val="00DE4793"/>
    <w:rsid w:val="00DF4C6E"/>
    <w:rsid w:val="00DF6728"/>
    <w:rsid w:val="00DF6F33"/>
    <w:rsid w:val="00E163C6"/>
    <w:rsid w:val="00E17FD1"/>
    <w:rsid w:val="00E256EB"/>
    <w:rsid w:val="00E3094F"/>
    <w:rsid w:val="00E33367"/>
    <w:rsid w:val="00E36B1A"/>
    <w:rsid w:val="00E37CA7"/>
    <w:rsid w:val="00E4056D"/>
    <w:rsid w:val="00E41880"/>
    <w:rsid w:val="00E456A8"/>
    <w:rsid w:val="00E60F1F"/>
    <w:rsid w:val="00E620A1"/>
    <w:rsid w:val="00E67F31"/>
    <w:rsid w:val="00E76A06"/>
    <w:rsid w:val="00E93CEC"/>
    <w:rsid w:val="00E95FC1"/>
    <w:rsid w:val="00EA2105"/>
    <w:rsid w:val="00EB28E6"/>
    <w:rsid w:val="00EB7B8D"/>
    <w:rsid w:val="00EC19CD"/>
    <w:rsid w:val="00EC73EF"/>
    <w:rsid w:val="00ED7381"/>
    <w:rsid w:val="00EF36D8"/>
    <w:rsid w:val="00EF3A28"/>
    <w:rsid w:val="00EF3B7F"/>
    <w:rsid w:val="00EF4266"/>
    <w:rsid w:val="00EF7A09"/>
    <w:rsid w:val="00F01022"/>
    <w:rsid w:val="00F10334"/>
    <w:rsid w:val="00F1503D"/>
    <w:rsid w:val="00F176BC"/>
    <w:rsid w:val="00F22F63"/>
    <w:rsid w:val="00F24423"/>
    <w:rsid w:val="00F33FFD"/>
    <w:rsid w:val="00F5028B"/>
    <w:rsid w:val="00F50EFB"/>
    <w:rsid w:val="00F54A02"/>
    <w:rsid w:val="00F61A00"/>
    <w:rsid w:val="00F6715C"/>
    <w:rsid w:val="00F71592"/>
    <w:rsid w:val="00F82CBF"/>
    <w:rsid w:val="00F902A0"/>
    <w:rsid w:val="00F90EFE"/>
    <w:rsid w:val="00FA160E"/>
    <w:rsid w:val="00FA2AF6"/>
    <w:rsid w:val="00FA415A"/>
    <w:rsid w:val="00FA4D40"/>
    <w:rsid w:val="00FB704E"/>
    <w:rsid w:val="00FD79AC"/>
    <w:rsid w:val="00FF29DD"/>
    <w:rsid w:val="00FF34D2"/>
    <w:rsid w:val="00FF4D4E"/>
    <w:rsid w:val="00FF55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A50EE"/>
  <w15:docId w15:val="{D2382B32-62F5-4C81-9FE4-F21C9B871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3"/>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3"/>
    <w:rsid w:val="002918A4"/>
    <w:pPr>
      <w:spacing w:after="0" w:line="360" w:lineRule="auto"/>
    </w:pPr>
    <w:rPr>
      <w:rFonts w:ascii="Times New Roman" w:eastAsia="Times New Roman" w:hAnsi="Times New Roman" w:cs="Times New Roman"/>
      <w:szCs w:val="24"/>
      <w:lang w:eastAsia="en-US"/>
    </w:rPr>
  </w:style>
  <w:style w:type="paragraph" w:styleId="Heading1">
    <w:name w:val="heading 1"/>
    <w:basedOn w:val="Normal"/>
    <w:next w:val="Normal"/>
    <w:link w:val="Heading1Char"/>
    <w:uiPriority w:val="9"/>
    <w:rsid w:val="002918A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8">
    <w:name w:val="heading 8"/>
    <w:basedOn w:val="Normal"/>
    <w:next w:val="Normal"/>
    <w:link w:val="Heading8Char"/>
    <w:uiPriority w:val="9"/>
    <w:semiHidden/>
    <w:unhideWhenUsed/>
    <w:qFormat/>
    <w:rsid w:val="00A20AFF"/>
    <w:pPr>
      <w:keepNext/>
      <w:keepLines/>
      <w:spacing w:before="40" w:after="160" w:line="259" w:lineRule="auto"/>
      <w:outlineLvl w:val="7"/>
    </w:pPr>
    <w:rPr>
      <w:rFonts w:asciiTheme="majorHAnsi" w:eastAsiaTheme="majorEastAsia" w:hAnsiTheme="majorHAnsi" w:cstheme="majorBidi"/>
      <w:color w:val="272727" w:themeColor="text1" w:themeTint="D8"/>
      <w:sz w:val="21"/>
      <w:szCs w:val="21"/>
      <w:lang w:val="en-US"/>
    </w:rPr>
  </w:style>
  <w:style w:type="character" w:default="1" w:styleId="DefaultParagraphFont">
    <w:name w:val="Default Paragraph Font"/>
    <w:uiPriority w:val="1"/>
    <w:semiHidden/>
    <w:unhideWhenUsed/>
    <w:rsid w:val="002918A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918A4"/>
  </w:style>
  <w:style w:type="character" w:customStyle="1" w:styleId="Heading1Char">
    <w:name w:val="Heading 1 Char"/>
    <w:basedOn w:val="DefaultParagraphFont"/>
    <w:link w:val="Heading1"/>
    <w:uiPriority w:val="9"/>
    <w:rsid w:val="002918A4"/>
    <w:rPr>
      <w:rFonts w:asciiTheme="majorHAnsi" w:eastAsiaTheme="majorEastAsia" w:hAnsiTheme="majorHAnsi" w:cstheme="majorBidi"/>
      <w:b/>
      <w:bCs/>
      <w:color w:val="365F91" w:themeColor="accent1" w:themeShade="BF"/>
      <w:sz w:val="28"/>
      <w:szCs w:val="28"/>
      <w:lang w:eastAsia="en-US"/>
    </w:rPr>
  </w:style>
  <w:style w:type="paragraph" w:customStyle="1" w:styleId="IUCracknowledgements">
    <w:name w:val="IUCr acknowledgements"/>
    <w:next w:val="Normal"/>
    <w:uiPriority w:val="1"/>
    <w:qFormat/>
    <w:rsid w:val="002918A4"/>
    <w:pPr>
      <w:numPr>
        <w:numId w:val="2"/>
      </w:numPr>
      <w:overflowPunct w:val="0"/>
      <w:autoSpaceDE w:val="0"/>
      <w:autoSpaceDN w:val="0"/>
      <w:adjustRightInd w:val="0"/>
      <w:spacing w:before="240" w:after="240" w:line="360" w:lineRule="auto"/>
      <w:textAlignment w:val="baseline"/>
    </w:pPr>
    <w:rPr>
      <w:rFonts w:ascii="Times New Roman" w:eastAsia="Times New Roman" w:hAnsi="Times New Roman" w:cs="Times New Roman"/>
      <w:szCs w:val="20"/>
      <w:lang w:eastAsia="en-US"/>
    </w:rPr>
  </w:style>
  <w:style w:type="paragraph" w:customStyle="1" w:styleId="IUCrappendixheading1">
    <w:name w:val="IUCr appendix heading 1"/>
    <w:next w:val="Normal"/>
    <w:uiPriority w:val="2"/>
    <w:qFormat/>
    <w:rsid w:val="002918A4"/>
    <w:pPr>
      <w:numPr>
        <w:numId w:val="3"/>
      </w:numPr>
      <w:spacing w:before="240" w:after="120" w:line="360" w:lineRule="auto"/>
    </w:pPr>
    <w:rPr>
      <w:rFonts w:ascii="Arial" w:eastAsia="Times New Roman" w:hAnsi="Arial" w:cs="Times New Roman"/>
      <w:b/>
      <w:sz w:val="20"/>
      <w:szCs w:val="20"/>
      <w:lang w:eastAsia="en-US"/>
    </w:rPr>
  </w:style>
  <w:style w:type="paragraph" w:customStyle="1" w:styleId="IUCrappendixheading2">
    <w:name w:val="IUCr appendix heading 2"/>
    <w:next w:val="Normal"/>
    <w:uiPriority w:val="2"/>
    <w:qFormat/>
    <w:rsid w:val="002918A4"/>
    <w:pPr>
      <w:numPr>
        <w:ilvl w:val="1"/>
        <w:numId w:val="3"/>
      </w:numPr>
      <w:spacing w:before="240" w:after="120" w:line="360" w:lineRule="auto"/>
    </w:pPr>
    <w:rPr>
      <w:rFonts w:ascii="Arial" w:eastAsia="Times New Roman" w:hAnsi="Arial" w:cs="Times New Roman"/>
      <w:b/>
      <w:sz w:val="20"/>
      <w:szCs w:val="20"/>
      <w:lang w:eastAsia="en-US"/>
    </w:rPr>
  </w:style>
  <w:style w:type="paragraph" w:customStyle="1" w:styleId="IUCrappendixheading3">
    <w:name w:val="IUCr appendix heading 3"/>
    <w:next w:val="Normal"/>
    <w:uiPriority w:val="2"/>
    <w:qFormat/>
    <w:rsid w:val="002918A4"/>
    <w:pPr>
      <w:numPr>
        <w:ilvl w:val="2"/>
        <w:numId w:val="3"/>
      </w:numPr>
      <w:spacing w:before="240" w:after="120" w:line="360" w:lineRule="auto"/>
    </w:pPr>
    <w:rPr>
      <w:rFonts w:ascii="Arial" w:eastAsia="Times New Roman" w:hAnsi="Arial" w:cs="Times New Roman"/>
      <w:b/>
      <w:sz w:val="20"/>
      <w:szCs w:val="20"/>
      <w:lang w:eastAsia="en-US"/>
    </w:rPr>
  </w:style>
  <w:style w:type="paragraph" w:customStyle="1" w:styleId="IUCrarticletitle">
    <w:name w:val="IUCr article title"/>
    <w:next w:val="Normal"/>
    <w:link w:val="IUCrarticletitleChar"/>
    <w:uiPriority w:val="7"/>
    <w:rsid w:val="002918A4"/>
    <w:pPr>
      <w:spacing w:after="240" w:line="360" w:lineRule="auto"/>
    </w:pPr>
    <w:rPr>
      <w:rFonts w:ascii="Arial" w:eastAsia="Times New Roman" w:hAnsi="Arial" w:cs="Times New Roman"/>
      <w:b/>
      <w:sz w:val="28"/>
      <w:szCs w:val="20"/>
      <w:lang w:eastAsia="en-US"/>
    </w:rPr>
  </w:style>
  <w:style w:type="paragraph" w:customStyle="1" w:styleId="IUCrbodytext">
    <w:name w:val="IUCr body text"/>
    <w:basedOn w:val="BodyText"/>
    <w:link w:val="IUCrbodytextChar"/>
    <w:qFormat/>
    <w:rsid w:val="002918A4"/>
    <w:pPr>
      <w:spacing w:line="360" w:lineRule="auto"/>
    </w:pPr>
    <w:rPr>
      <w:rFonts w:ascii="Times New Roman" w:hAnsi="Times New Roman" w:cs="Times New Roman"/>
      <w:szCs w:val="24"/>
      <w:lang w:eastAsia="en-US"/>
    </w:rPr>
  </w:style>
  <w:style w:type="paragraph" w:styleId="BodyText">
    <w:name w:val="Body Text"/>
    <w:basedOn w:val="Normal"/>
    <w:link w:val="BodyTextChar"/>
    <w:uiPriority w:val="99"/>
    <w:semiHidden/>
    <w:unhideWhenUsed/>
    <w:rsid w:val="002918A4"/>
    <w:pPr>
      <w:spacing w:after="120" w:line="276" w:lineRule="auto"/>
    </w:pPr>
    <w:rPr>
      <w:rFonts w:asciiTheme="minorHAnsi" w:hAnsiTheme="minorHAnsi" w:cstheme="minorBidi"/>
      <w:szCs w:val="22"/>
      <w:lang w:eastAsia="en-GB"/>
    </w:rPr>
  </w:style>
  <w:style w:type="character" w:customStyle="1" w:styleId="BodyTextChar">
    <w:name w:val="Body Text Char"/>
    <w:basedOn w:val="DefaultParagraphFont"/>
    <w:link w:val="BodyText"/>
    <w:uiPriority w:val="99"/>
    <w:semiHidden/>
    <w:rsid w:val="002918A4"/>
    <w:rPr>
      <w:rFonts w:eastAsia="Times New Roman"/>
    </w:rPr>
  </w:style>
  <w:style w:type="paragraph" w:customStyle="1" w:styleId="IUCrfigurecaption">
    <w:name w:val="IUCr figure caption"/>
    <w:next w:val="IUCrbodytext"/>
    <w:uiPriority w:val="1"/>
    <w:qFormat/>
    <w:rsid w:val="002918A4"/>
    <w:pPr>
      <w:numPr>
        <w:numId w:val="4"/>
      </w:numPr>
      <w:tabs>
        <w:tab w:val="left" w:pos="964"/>
      </w:tabs>
      <w:spacing w:before="120" w:after="120" w:line="360" w:lineRule="auto"/>
    </w:pPr>
    <w:rPr>
      <w:rFonts w:ascii="Times New Roman" w:eastAsia="Times New Roman" w:hAnsi="Times New Roman" w:cs="Times New Roman"/>
      <w:szCs w:val="20"/>
      <w:lang w:eastAsia="en-US"/>
    </w:rPr>
  </w:style>
  <w:style w:type="paragraph" w:customStyle="1" w:styleId="IUCrheading1">
    <w:name w:val="IUCr heading 1"/>
    <w:next w:val="IUCrbodytext"/>
    <w:qFormat/>
    <w:rsid w:val="002918A4"/>
    <w:pPr>
      <w:numPr>
        <w:numId w:val="5"/>
      </w:numPr>
      <w:overflowPunct w:val="0"/>
      <w:autoSpaceDE w:val="0"/>
      <w:autoSpaceDN w:val="0"/>
      <w:adjustRightInd w:val="0"/>
      <w:spacing w:before="240" w:after="120" w:line="360" w:lineRule="auto"/>
      <w:textAlignment w:val="baseline"/>
    </w:pPr>
    <w:rPr>
      <w:rFonts w:ascii="Arial" w:eastAsia="Times New Roman" w:hAnsi="Arial" w:cs="Times New Roman"/>
      <w:b/>
      <w:sz w:val="20"/>
      <w:szCs w:val="20"/>
      <w:lang w:eastAsia="en-US"/>
    </w:rPr>
  </w:style>
  <w:style w:type="paragraph" w:customStyle="1" w:styleId="IUCrheading2">
    <w:name w:val="IUCr heading 2"/>
    <w:next w:val="IUCrbodytext"/>
    <w:qFormat/>
    <w:rsid w:val="002918A4"/>
    <w:pPr>
      <w:numPr>
        <w:ilvl w:val="1"/>
        <w:numId w:val="5"/>
      </w:numPr>
      <w:overflowPunct w:val="0"/>
      <w:autoSpaceDE w:val="0"/>
      <w:autoSpaceDN w:val="0"/>
      <w:adjustRightInd w:val="0"/>
      <w:spacing w:before="240" w:after="120" w:line="360" w:lineRule="auto"/>
      <w:textAlignment w:val="baseline"/>
    </w:pPr>
    <w:rPr>
      <w:rFonts w:ascii="Arial" w:eastAsia="Times New Roman" w:hAnsi="Arial" w:cs="Times New Roman"/>
      <w:b/>
      <w:sz w:val="20"/>
      <w:szCs w:val="20"/>
      <w:lang w:eastAsia="en-US"/>
    </w:rPr>
  </w:style>
  <w:style w:type="paragraph" w:customStyle="1" w:styleId="IUCrheading3">
    <w:name w:val="IUCr heading 3"/>
    <w:next w:val="IUCrbodytext"/>
    <w:qFormat/>
    <w:rsid w:val="002918A4"/>
    <w:pPr>
      <w:numPr>
        <w:ilvl w:val="2"/>
        <w:numId w:val="5"/>
      </w:numPr>
      <w:overflowPunct w:val="0"/>
      <w:autoSpaceDE w:val="0"/>
      <w:autoSpaceDN w:val="0"/>
      <w:adjustRightInd w:val="0"/>
      <w:spacing w:before="240" w:after="120" w:line="360" w:lineRule="auto"/>
      <w:textAlignment w:val="baseline"/>
    </w:pPr>
    <w:rPr>
      <w:rFonts w:ascii="Arial" w:eastAsia="Times New Roman" w:hAnsi="Arial" w:cs="Times New Roman"/>
      <w:b/>
      <w:sz w:val="20"/>
      <w:szCs w:val="20"/>
      <w:lang w:eastAsia="en-US"/>
    </w:rPr>
  </w:style>
  <w:style w:type="paragraph" w:customStyle="1" w:styleId="IUCrtableheadnote">
    <w:name w:val="IUCr table headnote"/>
    <w:basedOn w:val="IUCrtabletext"/>
    <w:next w:val="IUCrtabletext"/>
    <w:link w:val="IUCrtableheadnoteChar"/>
    <w:qFormat/>
    <w:rsid w:val="002918A4"/>
  </w:style>
  <w:style w:type="paragraph" w:customStyle="1" w:styleId="IUCrreferences">
    <w:name w:val="IUCr references"/>
    <w:uiPriority w:val="1"/>
    <w:qFormat/>
    <w:rsid w:val="002918A4"/>
    <w:pPr>
      <w:spacing w:after="0" w:line="360" w:lineRule="auto"/>
    </w:pPr>
    <w:rPr>
      <w:rFonts w:ascii="Times New Roman" w:eastAsia="Times New Roman" w:hAnsi="Times New Roman" w:cs="Times New Roman"/>
      <w:szCs w:val="20"/>
      <w:lang w:eastAsia="en-US"/>
    </w:rPr>
  </w:style>
  <w:style w:type="character" w:customStyle="1" w:styleId="IUCrtableheadnoteChar">
    <w:name w:val="IUCr table headnote Char"/>
    <w:basedOn w:val="IUCrtabletextChar"/>
    <w:link w:val="IUCrtableheadnote"/>
    <w:rsid w:val="002918A4"/>
    <w:rPr>
      <w:rFonts w:ascii="Times New Roman" w:eastAsia="Times New Roman" w:hAnsi="Times New Roman" w:cs="Times New Roman"/>
      <w:sz w:val="20"/>
      <w:szCs w:val="24"/>
      <w:lang w:eastAsia="en-US"/>
    </w:rPr>
  </w:style>
  <w:style w:type="paragraph" w:customStyle="1" w:styleId="IUCrtablecaption">
    <w:name w:val="IUCr table caption"/>
    <w:next w:val="Normal"/>
    <w:qFormat/>
    <w:rsid w:val="002918A4"/>
    <w:pPr>
      <w:numPr>
        <w:numId w:val="10"/>
      </w:numPr>
      <w:tabs>
        <w:tab w:val="left" w:pos="964"/>
      </w:tabs>
      <w:spacing w:before="240" w:after="120" w:line="360" w:lineRule="auto"/>
    </w:pPr>
    <w:rPr>
      <w:rFonts w:ascii="Times New Roman" w:eastAsia="Times New Roman" w:hAnsi="Times New Roman" w:cs="Times New Roman"/>
      <w:szCs w:val="20"/>
      <w:lang w:eastAsia="en-US"/>
    </w:rPr>
  </w:style>
  <w:style w:type="character" w:styleId="PlaceholderText">
    <w:name w:val="Placeholder Text"/>
    <w:basedOn w:val="DefaultParagraphFont"/>
    <w:uiPriority w:val="99"/>
    <w:semiHidden/>
    <w:rsid w:val="002918A4"/>
    <w:rPr>
      <w:color w:val="808080"/>
    </w:rPr>
  </w:style>
  <w:style w:type="character" w:customStyle="1" w:styleId="IUCraddress">
    <w:name w:val="IUCr address"/>
    <w:uiPriority w:val="3"/>
    <w:rsid w:val="002918A4"/>
    <w:rPr>
      <w:rFonts w:ascii="Arial" w:hAnsi="Arial"/>
      <w:sz w:val="20"/>
    </w:rPr>
  </w:style>
  <w:style w:type="character" w:customStyle="1" w:styleId="IUCrauthor">
    <w:name w:val="IUCr author"/>
    <w:uiPriority w:val="3"/>
    <w:rsid w:val="002918A4"/>
    <w:rPr>
      <w:rFonts w:ascii="Arial" w:hAnsi="Arial"/>
      <w:b/>
      <w:sz w:val="20"/>
    </w:rPr>
  </w:style>
  <w:style w:type="character" w:customStyle="1" w:styleId="IUCrarticletitleChar">
    <w:name w:val="IUCr article title Char"/>
    <w:basedOn w:val="DefaultParagraphFont"/>
    <w:link w:val="IUCrarticletitle"/>
    <w:uiPriority w:val="7"/>
    <w:rsid w:val="002918A4"/>
    <w:rPr>
      <w:rFonts w:ascii="Arial" w:eastAsia="Times New Roman" w:hAnsi="Arial" w:cs="Times New Roman"/>
      <w:b/>
      <w:sz w:val="28"/>
      <w:szCs w:val="20"/>
      <w:lang w:eastAsia="en-US"/>
    </w:rPr>
  </w:style>
  <w:style w:type="character" w:customStyle="1" w:styleId="IUCrbodytextChar">
    <w:name w:val="IUCr body text Char"/>
    <w:basedOn w:val="BodyTextChar"/>
    <w:link w:val="IUCrbodytext"/>
    <w:rsid w:val="002918A4"/>
    <w:rPr>
      <w:rFonts w:ascii="Times New Roman" w:eastAsia="Times New Roman" w:hAnsi="Times New Roman" w:cs="Times New Roman"/>
      <w:szCs w:val="24"/>
      <w:lang w:eastAsia="en-US"/>
    </w:rPr>
  </w:style>
  <w:style w:type="paragraph" w:customStyle="1" w:styleId="IUCrtitle">
    <w:name w:val="IUCr title"/>
    <w:basedOn w:val="IUCrarticletitle"/>
    <w:next w:val="Normal"/>
    <w:uiPriority w:val="3"/>
    <w:rsid w:val="002918A4"/>
  </w:style>
  <w:style w:type="character" w:styleId="Hyperlink">
    <w:name w:val="Hyperlink"/>
    <w:basedOn w:val="DefaultParagraphFont"/>
    <w:uiPriority w:val="99"/>
    <w:unhideWhenUsed/>
    <w:rsid w:val="002918A4"/>
    <w:rPr>
      <w:color w:val="0000FF" w:themeColor="hyperlink"/>
      <w:u w:val="none"/>
    </w:rPr>
  </w:style>
  <w:style w:type="paragraph" w:customStyle="1" w:styleId="IUCrsansparagraph">
    <w:name w:val="IUCr sans paragraph"/>
    <w:basedOn w:val="Normal"/>
    <w:uiPriority w:val="3"/>
    <w:rsid w:val="002918A4"/>
    <w:pPr>
      <w:spacing w:after="240"/>
    </w:pPr>
    <w:rPr>
      <w:rFonts w:ascii="Arial" w:hAnsi="Arial"/>
      <w:sz w:val="20"/>
    </w:rPr>
  </w:style>
  <w:style w:type="character" w:customStyle="1" w:styleId="IUCrsanstext">
    <w:name w:val="IUCr sans text"/>
    <w:basedOn w:val="IUCraddress"/>
    <w:uiPriority w:val="3"/>
    <w:rsid w:val="002918A4"/>
    <w:rPr>
      <w:rFonts w:ascii="Arial" w:hAnsi="Arial"/>
      <w:sz w:val="20"/>
    </w:rPr>
  </w:style>
  <w:style w:type="character" w:customStyle="1" w:styleId="IUCrsanstextgrey">
    <w:name w:val="IUCr sans text grey"/>
    <w:basedOn w:val="IUCrsanstext"/>
    <w:uiPriority w:val="3"/>
    <w:rsid w:val="002918A4"/>
    <w:rPr>
      <w:rFonts w:ascii="Arial" w:hAnsi="Arial"/>
      <w:color w:val="7F7F7F" w:themeColor="text1" w:themeTint="80"/>
      <w:sz w:val="20"/>
    </w:rPr>
  </w:style>
  <w:style w:type="paragraph" w:customStyle="1" w:styleId="IUCrheading4">
    <w:name w:val="IUCr heading 4"/>
    <w:basedOn w:val="IUCrsansparagraph"/>
    <w:next w:val="IUCrbodytext"/>
    <w:rsid w:val="002918A4"/>
    <w:pPr>
      <w:spacing w:before="240" w:after="120"/>
    </w:pPr>
    <w:rPr>
      <w:b/>
    </w:rPr>
  </w:style>
  <w:style w:type="character" w:customStyle="1" w:styleId="IUCrsanstextbold">
    <w:name w:val="IUCr sans text bold"/>
    <w:basedOn w:val="IUCrsanstext"/>
    <w:uiPriority w:val="3"/>
    <w:rsid w:val="002918A4"/>
    <w:rPr>
      <w:rFonts w:ascii="Arial" w:hAnsi="Arial"/>
      <w:b/>
      <w:sz w:val="20"/>
    </w:rPr>
  </w:style>
  <w:style w:type="paragraph" w:styleId="Header">
    <w:name w:val="header"/>
    <w:basedOn w:val="Normal"/>
    <w:link w:val="HeaderChar"/>
    <w:uiPriority w:val="99"/>
    <w:unhideWhenUsed/>
    <w:rsid w:val="002918A4"/>
    <w:pPr>
      <w:tabs>
        <w:tab w:val="center" w:pos="4513"/>
        <w:tab w:val="right" w:pos="9026"/>
      </w:tabs>
    </w:pPr>
  </w:style>
  <w:style w:type="character" w:customStyle="1" w:styleId="HeaderChar">
    <w:name w:val="Header Char"/>
    <w:basedOn w:val="DefaultParagraphFont"/>
    <w:link w:val="Header"/>
    <w:uiPriority w:val="99"/>
    <w:rsid w:val="002918A4"/>
    <w:rPr>
      <w:rFonts w:ascii="Times New Roman" w:eastAsia="Times New Roman" w:hAnsi="Times New Roman" w:cs="Times New Roman"/>
      <w:szCs w:val="24"/>
      <w:lang w:eastAsia="en-US"/>
    </w:rPr>
  </w:style>
  <w:style w:type="paragraph" w:styleId="Footer">
    <w:name w:val="footer"/>
    <w:basedOn w:val="Normal"/>
    <w:link w:val="FooterChar"/>
    <w:uiPriority w:val="99"/>
    <w:unhideWhenUsed/>
    <w:rsid w:val="002918A4"/>
    <w:pPr>
      <w:tabs>
        <w:tab w:val="center" w:pos="4513"/>
        <w:tab w:val="right" w:pos="9026"/>
      </w:tabs>
    </w:pPr>
  </w:style>
  <w:style w:type="character" w:customStyle="1" w:styleId="FooterChar">
    <w:name w:val="Footer Char"/>
    <w:basedOn w:val="DefaultParagraphFont"/>
    <w:link w:val="Footer"/>
    <w:uiPriority w:val="99"/>
    <w:rsid w:val="002918A4"/>
    <w:rPr>
      <w:rFonts w:ascii="Times New Roman" w:eastAsia="Times New Roman" w:hAnsi="Times New Roman" w:cs="Times New Roman"/>
      <w:szCs w:val="24"/>
      <w:lang w:eastAsia="en-US"/>
    </w:rPr>
  </w:style>
  <w:style w:type="paragraph" w:customStyle="1" w:styleId="IUCrtablefootnote">
    <w:name w:val="IUCr table footnote"/>
    <w:basedOn w:val="IUCrtabletext"/>
    <w:next w:val="IUCrbodytext"/>
    <w:link w:val="IUCrtablefootnoteChar"/>
    <w:qFormat/>
    <w:rsid w:val="002918A4"/>
  </w:style>
  <w:style w:type="character" w:customStyle="1" w:styleId="IUCrsanstextsmall">
    <w:name w:val="IUCr sans text small"/>
    <w:basedOn w:val="IUCrsanstext"/>
    <w:uiPriority w:val="3"/>
    <w:rsid w:val="002918A4"/>
    <w:rPr>
      <w:rFonts w:ascii="Arial" w:hAnsi="Arial"/>
      <w:sz w:val="16"/>
    </w:rPr>
  </w:style>
  <w:style w:type="paragraph" w:customStyle="1" w:styleId="IUCrtabletext">
    <w:name w:val="IUCr table text"/>
    <w:basedOn w:val="IUCrbodytext"/>
    <w:link w:val="IUCrtabletextChar"/>
    <w:qFormat/>
    <w:rsid w:val="002918A4"/>
    <w:rPr>
      <w:sz w:val="20"/>
    </w:rPr>
  </w:style>
  <w:style w:type="character" w:customStyle="1" w:styleId="IUCrtabletextChar">
    <w:name w:val="IUCr table text Char"/>
    <w:basedOn w:val="IUCrbodytextChar"/>
    <w:link w:val="IUCrtabletext"/>
    <w:rsid w:val="002918A4"/>
    <w:rPr>
      <w:rFonts w:ascii="Times New Roman" w:eastAsia="Times New Roman" w:hAnsi="Times New Roman" w:cs="Times New Roman"/>
      <w:sz w:val="20"/>
      <w:szCs w:val="24"/>
      <w:lang w:eastAsia="en-US"/>
    </w:rPr>
  </w:style>
  <w:style w:type="character" w:customStyle="1" w:styleId="IUCrtablefootnoteChar">
    <w:name w:val="IUCr table footnote Char"/>
    <w:basedOn w:val="IUCrtabletextChar"/>
    <w:link w:val="IUCrtablefootnote"/>
    <w:rsid w:val="002918A4"/>
    <w:rPr>
      <w:rFonts w:ascii="Times New Roman" w:eastAsia="Times New Roman" w:hAnsi="Times New Roman" w:cs="Times New Roman"/>
      <w:sz w:val="20"/>
      <w:szCs w:val="24"/>
      <w:lang w:eastAsia="en-US"/>
    </w:rPr>
  </w:style>
  <w:style w:type="table" w:customStyle="1" w:styleId="IUCrtable">
    <w:name w:val="IUCr table"/>
    <w:basedOn w:val="TableNormal"/>
    <w:uiPriority w:val="99"/>
    <w:rsid w:val="002918A4"/>
    <w:pPr>
      <w:spacing w:after="0" w:line="240" w:lineRule="auto"/>
    </w:pPr>
    <w:rPr>
      <w:sz w:val="20"/>
    </w:rPr>
    <w:tblPr>
      <w:tblInd w:w="170" w:type="dxa"/>
      <w:tblBorders>
        <w:top w:val="single" w:sz="4" w:space="0" w:color="auto"/>
        <w:bottom w:val="single" w:sz="4" w:space="0" w:color="auto"/>
      </w:tblBorders>
    </w:tblPr>
  </w:style>
  <w:style w:type="table" w:styleId="TableGrid">
    <w:name w:val="Table Grid"/>
    <w:basedOn w:val="TableNormal"/>
    <w:uiPriority w:val="59"/>
    <w:rsid w:val="002918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UCrsanstextgreysmall">
    <w:name w:val="IUCr sans text grey small"/>
    <w:basedOn w:val="IUCrsanstextgrey"/>
    <w:uiPriority w:val="1"/>
    <w:rsid w:val="002918A4"/>
    <w:rPr>
      <w:rFonts w:ascii="Arial" w:hAnsi="Arial"/>
      <w:color w:val="7F7F7F" w:themeColor="text1" w:themeTint="80"/>
      <w:sz w:val="16"/>
    </w:rPr>
  </w:style>
  <w:style w:type="paragraph" w:customStyle="1" w:styleId="IUCrsupfigurecaption">
    <w:name w:val="IUCr sup figure caption"/>
    <w:basedOn w:val="IUCrfigurecaption"/>
    <w:qFormat/>
    <w:rsid w:val="002918A4"/>
    <w:pPr>
      <w:numPr>
        <w:numId w:val="8"/>
      </w:numPr>
      <w:tabs>
        <w:tab w:val="clear" w:pos="964"/>
        <w:tab w:val="left" w:pos="1134"/>
        <w:tab w:val="left" w:pos="1191"/>
        <w:tab w:val="left" w:pos="1440"/>
      </w:tabs>
    </w:pPr>
  </w:style>
  <w:style w:type="paragraph" w:customStyle="1" w:styleId="IUCrsupheading1">
    <w:name w:val="IUCr sup heading 1"/>
    <w:basedOn w:val="IUCrheading1"/>
    <w:next w:val="IUCrbodytext"/>
    <w:qFormat/>
    <w:rsid w:val="002918A4"/>
    <w:pPr>
      <w:numPr>
        <w:numId w:val="9"/>
      </w:numPr>
    </w:pPr>
  </w:style>
  <w:style w:type="paragraph" w:customStyle="1" w:styleId="IUCrsupheading2">
    <w:name w:val="IUCr sup heading 2"/>
    <w:basedOn w:val="IUCrheading2"/>
    <w:next w:val="IUCrbodytext"/>
    <w:qFormat/>
    <w:rsid w:val="002918A4"/>
    <w:pPr>
      <w:numPr>
        <w:numId w:val="9"/>
      </w:numPr>
    </w:pPr>
    <w:rPr>
      <w:rFonts w:cstheme="minorBidi"/>
      <w:szCs w:val="22"/>
      <w:lang w:eastAsia="en-GB"/>
    </w:rPr>
  </w:style>
  <w:style w:type="paragraph" w:customStyle="1" w:styleId="IUCrsupheading3">
    <w:name w:val="IUCr sup heading 3"/>
    <w:basedOn w:val="IUCrheading3"/>
    <w:next w:val="IUCrbodytext"/>
    <w:qFormat/>
    <w:rsid w:val="002918A4"/>
    <w:pPr>
      <w:numPr>
        <w:numId w:val="9"/>
      </w:numPr>
    </w:pPr>
  </w:style>
  <w:style w:type="paragraph" w:customStyle="1" w:styleId="IUCrsuptablecaption">
    <w:name w:val="IUCr sup table caption"/>
    <w:basedOn w:val="IUCrtablecaption"/>
    <w:next w:val="IUCrtableheadnote"/>
    <w:qFormat/>
    <w:rsid w:val="002918A4"/>
    <w:pPr>
      <w:numPr>
        <w:numId w:val="11"/>
      </w:numPr>
      <w:tabs>
        <w:tab w:val="clear" w:pos="964"/>
        <w:tab w:val="left" w:pos="1191"/>
        <w:tab w:val="left" w:pos="1440"/>
      </w:tabs>
    </w:pPr>
  </w:style>
  <w:style w:type="paragraph" w:customStyle="1" w:styleId="IUCrsuptitle">
    <w:name w:val="IUCr sup title"/>
    <w:basedOn w:val="IUCrtitle"/>
    <w:next w:val="IUCrbodytext"/>
    <w:link w:val="IUCrsuptitleChar"/>
    <w:qFormat/>
    <w:rsid w:val="002918A4"/>
    <w:rPr>
      <w:sz w:val="32"/>
    </w:rPr>
  </w:style>
  <w:style w:type="paragraph" w:customStyle="1" w:styleId="IUCrabstract">
    <w:name w:val="IUCr abstract"/>
    <w:next w:val="Normal"/>
    <w:uiPriority w:val="7"/>
    <w:rsid w:val="002918A4"/>
    <w:pPr>
      <w:numPr>
        <w:numId w:val="1"/>
      </w:num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eastAsia="en-US"/>
    </w:rPr>
  </w:style>
  <w:style w:type="paragraph" w:customStyle="1" w:styleId="IUCrkeywords">
    <w:name w:val="IUCr keywords"/>
    <w:next w:val="IUCrheading1"/>
    <w:uiPriority w:val="7"/>
    <w:rsid w:val="002918A4"/>
    <w:pPr>
      <w:numPr>
        <w:numId w:val="6"/>
      </w:numPr>
      <w:tabs>
        <w:tab w:val="left" w:pos="1134"/>
      </w:tabs>
      <w:spacing w:after="240" w:line="240" w:lineRule="auto"/>
    </w:pPr>
    <w:rPr>
      <w:rFonts w:ascii="Arial" w:eastAsia="Times New Roman" w:hAnsi="Arial" w:cs="Times New Roman"/>
      <w:b/>
      <w:sz w:val="20"/>
      <w:szCs w:val="20"/>
      <w:lang w:eastAsia="en-US"/>
    </w:rPr>
  </w:style>
  <w:style w:type="character" w:customStyle="1" w:styleId="IUCrsanstextgreybold">
    <w:name w:val="IUCr sans text grey bold"/>
    <w:basedOn w:val="IUCrsanstextgrey"/>
    <w:uiPriority w:val="1"/>
    <w:qFormat/>
    <w:rsid w:val="002918A4"/>
    <w:rPr>
      <w:rFonts w:ascii="Arial" w:hAnsi="Arial"/>
      <w:b/>
      <w:color w:val="7F7F7F" w:themeColor="text1" w:themeTint="80"/>
      <w:sz w:val="20"/>
    </w:rPr>
  </w:style>
  <w:style w:type="character" w:customStyle="1" w:styleId="IUCrsanstextgreyitalic">
    <w:name w:val="IUCr sans text grey italic"/>
    <w:basedOn w:val="IUCrsanstextgrey"/>
    <w:uiPriority w:val="1"/>
    <w:qFormat/>
    <w:rsid w:val="002918A4"/>
    <w:rPr>
      <w:rFonts w:ascii="Arial" w:hAnsi="Arial"/>
      <w:i/>
      <w:color w:val="7F7F7F" w:themeColor="text1" w:themeTint="80"/>
      <w:sz w:val="20"/>
    </w:rPr>
  </w:style>
  <w:style w:type="numbering" w:customStyle="1" w:styleId="IUCrsup">
    <w:name w:val="IUCr sup"/>
    <w:uiPriority w:val="99"/>
    <w:rsid w:val="002918A4"/>
    <w:pPr>
      <w:numPr>
        <w:numId w:val="7"/>
      </w:numPr>
    </w:pPr>
  </w:style>
  <w:style w:type="paragraph" w:customStyle="1" w:styleId="IUCrsynopsis">
    <w:name w:val="IUCr synopsis"/>
    <w:basedOn w:val="IUCrabstract"/>
    <w:next w:val="IUCrabstract"/>
    <w:uiPriority w:val="7"/>
    <w:rsid w:val="002918A4"/>
    <w:pPr>
      <w:numPr>
        <w:numId w:val="12"/>
      </w:numPr>
      <w:spacing w:before="240"/>
    </w:pPr>
  </w:style>
  <w:style w:type="character" w:customStyle="1" w:styleId="IUCrsuptitleChar">
    <w:name w:val="IUCr sup title Char"/>
    <w:basedOn w:val="IUCrarticletitleChar"/>
    <w:link w:val="IUCrsuptitle"/>
    <w:locked/>
    <w:rsid w:val="008D471B"/>
    <w:rPr>
      <w:rFonts w:ascii="Arial" w:eastAsia="Times New Roman" w:hAnsi="Arial" w:cs="Times New Roman"/>
      <w:b/>
      <w:sz w:val="32"/>
      <w:szCs w:val="20"/>
      <w:lang w:eastAsia="en-US"/>
    </w:rPr>
  </w:style>
  <w:style w:type="paragraph" w:customStyle="1" w:styleId="IUCrsanstext1">
    <w:name w:val="IUCr sans text1"/>
    <w:basedOn w:val="Normal"/>
    <w:uiPriority w:val="3"/>
    <w:rsid w:val="008D471B"/>
    <w:pPr>
      <w:spacing w:before="100" w:beforeAutospacing="1" w:after="100" w:afterAutospacing="1" w:line="240" w:lineRule="auto"/>
    </w:pPr>
    <w:rPr>
      <w:rFonts w:ascii="Arial" w:eastAsiaTheme="minorEastAsia" w:hAnsi="Arial" w:cs="Arial"/>
      <w:sz w:val="20"/>
      <w:lang w:val="en-US"/>
    </w:rPr>
  </w:style>
  <w:style w:type="paragraph" w:customStyle="1" w:styleId="IUCrsanstextbold1">
    <w:name w:val="IUCr sans text bold1"/>
    <w:basedOn w:val="Normal"/>
    <w:uiPriority w:val="3"/>
    <w:rsid w:val="008D471B"/>
    <w:pPr>
      <w:spacing w:before="100" w:beforeAutospacing="1" w:after="100" w:afterAutospacing="1" w:line="240" w:lineRule="auto"/>
    </w:pPr>
    <w:rPr>
      <w:rFonts w:ascii="Arial" w:eastAsiaTheme="minorEastAsia" w:hAnsi="Arial" w:cs="Arial"/>
      <w:b/>
      <w:sz w:val="20"/>
      <w:lang w:val="en-US"/>
    </w:rPr>
  </w:style>
  <w:style w:type="character" w:styleId="CommentReference">
    <w:name w:val="annotation reference"/>
    <w:basedOn w:val="DefaultParagraphFont"/>
    <w:uiPriority w:val="99"/>
    <w:semiHidden/>
    <w:unhideWhenUsed/>
    <w:rsid w:val="00D001F9"/>
    <w:rPr>
      <w:sz w:val="16"/>
      <w:szCs w:val="16"/>
    </w:rPr>
  </w:style>
  <w:style w:type="paragraph" w:styleId="CommentText">
    <w:name w:val="annotation text"/>
    <w:basedOn w:val="Normal"/>
    <w:link w:val="CommentTextChar"/>
    <w:uiPriority w:val="99"/>
    <w:semiHidden/>
    <w:unhideWhenUsed/>
    <w:rsid w:val="00D001F9"/>
    <w:pPr>
      <w:spacing w:line="240" w:lineRule="auto"/>
    </w:pPr>
    <w:rPr>
      <w:sz w:val="20"/>
      <w:szCs w:val="20"/>
    </w:rPr>
  </w:style>
  <w:style w:type="character" w:customStyle="1" w:styleId="CommentTextChar">
    <w:name w:val="Comment Text Char"/>
    <w:basedOn w:val="DefaultParagraphFont"/>
    <w:link w:val="CommentText"/>
    <w:uiPriority w:val="99"/>
    <w:semiHidden/>
    <w:rsid w:val="00D001F9"/>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D001F9"/>
    <w:rPr>
      <w:b/>
      <w:bCs/>
    </w:rPr>
  </w:style>
  <w:style w:type="character" w:customStyle="1" w:styleId="CommentSubjectChar">
    <w:name w:val="Comment Subject Char"/>
    <w:basedOn w:val="CommentTextChar"/>
    <w:link w:val="CommentSubject"/>
    <w:uiPriority w:val="99"/>
    <w:semiHidden/>
    <w:rsid w:val="00D001F9"/>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D001F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1F9"/>
    <w:rPr>
      <w:rFonts w:ascii="Segoe UI" w:eastAsia="Times New Roman" w:hAnsi="Segoe UI" w:cs="Segoe UI"/>
      <w:sz w:val="18"/>
      <w:szCs w:val="18"/>
      <w:lang w:eastAsia="en-US"/>
    </w:rPr>
  </w:style>
  <w:style w:type="character" w:customStyle="1" w:styleId="Heading8Char">
    <w:name w:val="Heading 8 Char"/>
    <w:basedOn w:val="DefaultParagraphFont"/>
    <w:link w:val="Heading8"/>
    <w:uiPriority w:val="9"/>
    <w:semiHidden/>
    <w:rsid w:val="00A20AFF"/>
    <w:rPr>
      <w:rFonts w:asciiTheme="majorHAnsi" w:eastAsiaTheme="majorEastAsia" w:hAnsiTheme="majorHAnsi" w:cstheme="majorBidi"/>
      <w:color w:val="272727" w:themeColor="text1" w:themeTint="D8"/>
      <w:sz w:val="21"/>
      <w:szCs w:val="21"/>
      <w:lang w:val="en-US" w:eastAsia="en-US"/>
    </w:rPr>
  </w:style>
  <w:style w:type="paragraph" w:styleId="Bibliography">
    <w:name w:val="Bibliography"/>
    <w:basedOn w:val="Normal"/>
    <w:next w:val="Normal"/>
    <w:uiPriority w:val="37"/>
    <w:unhideWhenUsed/>
    <w:rsid w:val="00A20AFF"/>
    <w:pPr>
      <w:spacing w:after="240" w:line="240" w:lineRule="auto"/>
      <w:ind w:left="720" w:hanging="720"/>
    </w:pPr>
    <w:rPr>
      <w:rFonts w:asciiTheme="minorHAnsi" w:eastAsiaTheme="minorHAnsi" w:hAnsiTheme="minorHAnsi" w:cstheme="minorBidi"/>
      <w:szCs w:val="22"/>
      <w:lang w:val="en-US"/>
    </w:rPr>
  </w:style>
  <w:style w:type="paragraph" w:styleId="NormalWeb">
    <w:name w:val="Normal (Web)"/>
    <w:basedOn w:val="Normal"/>
    <w:uiPriority w:val="99"/>
    <w:semiHidden/>
    <w:unhideWhenUsed/>
    <w:rsid w:val="00A20AFF"/>
    <w:pPr>
      <w:spacing w:before="100" w:beforeAutospacing="1" w:after="100" w:afterAutospacing="1" w:line="240" w:lineRule="auto"/>
    </w:pPr>
    <w:rPr>
      <w:rFonts w:eastAsiaTheme="minorEastAsia"/>
      <w:sz w:val="24"/>
      <w:lang w:val="en-US"/>
    </w:rPr>
  </w:style>
  <w:style w:type="character" w:customStyle="1" w:styleId="fontsize2">
    <w:name w:val="font_size_2"/>
    <w:basedOn w:val="DefaultParagraphFont"/>
    <w:rsid w:val="00A20A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46574">
      <w:marLeft w:val="0"/>
      <w:marRight w:val="0"/>
      <w:marTop w:val="0"/>
      <w:marBottom w:val="0"/>
      <w:divBdr>
        <w:top w:val="none" w:sz="0" w:space="0" w:color="auto"/>
        <w:left w:val="none" w:sz="0" w:space="0" w:color="auto"/>
        <w:bottom w:val="none" w:sz="0" w:space="0" w:color="auto"/>
        <w:right w:val="none" w:sz="0" w:space="0" w:color="auto"/>
      </w:divBdr>
      <w:divsChild>
        <w:div w:id="52394188">
          <w:marLeft w:val="0"/>
          <w:marRight w:val="0"/>
          <w:marTop w:val="0"/>
          <w:marBottom w:val="0"/>
          <w:divBdr>
            <w:top w:val="none" w:sz="0" w:space="0" w:color="auto"/>
            <w:left w:val="none" w:sz="0" w:space="0" w:color="auto"/>
            <w:bottom w:val="none" w:sz="0" w:space="0" w:color="auto"/>
            <w:right w:val="none" w:sz="0" w:space="0" w:color="auto"/>
          </w:divBdr>
        </w:div>
        <w:div w:id="1719740540">
          <w:marLeft w:val="0"/>
          <w:marRight w:val="0"/>
          <w:marTop w:val="0"/>
          <w:marBottom w:val="0"/>
          <w:divBdr>
            <w:top w:val="none" w:sz="0" w:space="0" w:color="auto"/>
            <w:left w:val="none" w:sz="0" w:space="0" w:color="auto"/>
            <w:bottom w:val="none" w:sz="0" w:space="0" w:color="auto"/>
            <w:right w:val="none" w:sz="0" w:space="0" w:color="auto"/>
          </w:divBdr>
        </w:div>
        <w:div w:id="1348602620">
          <w:marLeft w:val="0"/>
          <w:marRight w:val="0"/>
          <w:marTop w:val="0"/>
          <w:marBottom w:val="0"/>
          <w:divBdr>
            <w:top w:val="none" w:sz="0" w:space="0" w:color="auto"/>
            <w:left w:val="none" w:sz="0" w:space="0" w:color="auto"/>
            <w:bottom w:val="none" w:sz="0" w:space="0" w:color="auto"/>
            <w:right w:val="none" w:sz="0" w:space="0" w:color="auto"/>
          </w:divBdr>
        </w:div>
      </w:divsChild>
    </w:div>
    <w:div w:id="20981524">
      <w:bodyDiv w:val="1"/>
      <w:marLeft w:val="0"/>
      <w:marRight w:val="0"/>
      <w:marTop w:val="0"/>
      <w:marBottom w:val="0"/>
      <w:divBdr>
        <w:top w:val="none" w:sz="0" w:space="0" w:color="auto"/>
        <w:left w:val="none" w:sz="0" w:space="0" w:color="auto"/>
        <w:bottom w:val="none" w:sz="0" w:space="0" w:color="auto"/>
        <w:right w:val="none" w:sz="0" w:space="0" w:color="auto"/>
      </w:divBdr>
      <w:divsChild>
        <w:div w:id="1684546934">
          <w:marLeft w:val="0"/>
          <w:marRight w:val="0"/>
          <w:marTop w:val="0"/>
          <w:marBottom w:val="0"/>
          <w:divBdr>
            <w:top w:val="none" w:sz="0" w:space="0" w:color="auto"/>
            <w:left w:val="none" w:sz="0" w:space="0" w:color="auto"/>
            <w:bottom w:val="none" w:sz="0" w:space="0" w:color="auto"/>
            <w:right w:val="none" w:sz="0" w:space="0" w:color="auto"/>
          </w:divBdr>
        </w:div>
        <w:div w:id="964194350">
          <w:marLeft w:val="0"/>
          <w:marRight w:val="0"/>
          <w:marTop w:val="0"/>
          <w:marBottom w:val="0"/>
          <w:divBdr>
            <w:top w:val="none" w:sz="0" w:space="0" w:color="auto"/>
            <w:left w:val="none" w:sz="0" w:space="0" w:color="auto"/>
            <w:bottom w:val="none" w:sz="0" w:space="0" w:color="auto"/>
            <w:right w:val="none" w:sz="0" w:space="0" w:color="auto"/>
          </w:divBdr>
        </w:div>
        <w:div w:id="104931875">
          <w:marLeft w:val="0"/>
          <w:marRight w:val="0"/>
          <w:marTop w:val="0"/>
          <w:marBottom w:val="0"/>
          <w:divBdr>
            <w:top w:val="none" w:sz="0" w:space="0" w:color="auto"/>
            <w:left w:val="none" w:sz="0" w:space="0" w:color="auto"/>
            <w:bottom w:val="none" w:sz="0" w:space="0" w:color="auto"/>
            <w:right w:val="none" w:sz="0" w:space="0" w:color="auto"/>
          </w:divBdr>
        </w:div>
        <w:div w:id="1889367485">
          <w:marLeft w:val="0"/>
          <w:marRight w:val="0"/>
          <w:marTop w:val="0"/>
          <w:marBottom w:val="0"/>
          <w:divBdr>
            <w:top w:val="none" w:sz="0" w:space="0" w:color="auto"/>
            <w:left w:val="none" w:sz="0" w:space="0" w:color="auto"/>
            <w:bottom w:val="none" w:sz="0" w:space="0" w:color="auto"/>
            <w:right w:val="none" w:sz="0" w:space="0" w:color="auto"/>
          </w:divBdr>
        </w:div>
      </w:divsChild>
    </w:div>
    <w:div w:id="33584776">
      <w:bodyDiv w:val="1"/>
      <w:marLeft w:val="0"/>
      <w:marRight w:val="0"/>
      <w:marTop w:val="0"/>
      <w:marBottom w:val="0"/>
      <w:divBdr>
        <w:top w:val="none" w:sz="0" w:space="0" w:color="auto"/>
        <w:left w:val="none" w:sz="0" w:space="0" w:color="auto"/>
        <w:bottom w:val="none" w:sz="0" w:space="0" w:color="auto"/>
        <w:right w:val="none" w:sz="0" w:space="0" w:color="auto"/>
      </w:divBdr>
      <w:divsChild>
        <w:div w:id="241306330">
          <w:marLeft w:val="0"/>
          <w:marRight w:val="0"/>
          <w:marTop w:val="0"/>
          <w:marBottom w:val="0"/>
          <w:divBdr>
            <w:top w:val="none" w:sz="0" w:space="0" w:color="auto"/>
            <w:left w:val="none" w:sz="0" w:space="0" w:color="auto"/>
            <w:bottom w:val="none" w:sz="0" w:space="0" w:color="auto"/>
            <w:right w:val="none" w:sz="0" w:space="0" w:color="auto"/>
          </w:divBdr>
        </w:div>
        <w:div w:id="830678066">
          <w:marLeft w:val="0"/>
          <w:marRight w:val="0"/>
          <w:marTop w:val="0"/>
          <w:marBottom w:val="0"/>
          <w:divBdr>
            <w:top w:val="none" w:sz="0" w:space="0" w:color="auto"/>
            <w:left w:val="none" w:sz="0" w:space="0" w:color="auto"/>
            <w:bottom w:val="none" w:sz="0" w:space="0" w:color="auto"/>
            <w:right w:val="none" w:sz="0" w:space="0" w:color="auto"/>
          </w:divBdr>
        </w:div>
        <w:div w:id="518617642">
          <w:marLeft w:val="0"/>
          <w:marRight w:val="0"/>
          <w:marTop w:val="0"/>
          <w:marBottom w:val="0"/>
          <w:divBdr>
            <w:top w:val="none" w:sz="0" w:space="0" w:color="auto"/>
            <w:left w:val="none" w:sz="0" w:space="0" w:color="auto"/>
            <w:bottom w:val="none" w:sz="0" w:space="0" w:color="auto"/>
            <w:right w:val="none" w:sz="0" w:space="0" w:color="auto"/>
          </w:divBdr>
        </w:div>
        <w:div w:id="2054887179">
          <w:marLeft w:val="0"/>
          <w:marRight w:val="0"/>
          <w:marTop w:val="0"/>
          <w:marBottom w:val="0"/>
          <w:divBdr>
            <w:top w:val="none" w:sz="0" w:space="0" w:color="auto"/>
            <w:left w:val="none" w:sz="0" w:space="0" w:color="auto"/>
            <w:bottom w:val="none" w:sz="0" w:space="0" w:color="auto"/>
            <w:right w:val="none" w:sz="0" w:space="0" w:color="auto"/>
          </w:divBdr>
        </w:div>
      </w:divsChild>
    </w:div>
    <w:div w:id="46415169">
      <w:bodyDiv w:val="1"/>
      <w:marLeft w:val="0"/>
      <w:marRight w:val="0"/>
      <w:marTop w:val="0"/>
      <w:marBottom w:val="0"/>
      <w:divBdr>
        <w:top w:val="none" w:sz="0" w:space="0" w:color="auto"/>
        <w:left w:val="none" w:sz="0" w:space="0" w:color="auto"/>
        <w:bottom w:val="none" w:sz="0" w:space="0" w:color="auto"/>
        <w:right w:val="none" w:sz="0" w:space="0" w:color="auto"/>
      </w:divBdr>
      <w:divsChild>
        <w:div w:id="165294619">
          <w:marLeft w:val="0"/>
          <w:marRight w:val="0"/>
          <w:marTop w:val="0"/>
          <w:marBottom w:val="0"/>
          <w:divBdr>
            <w:top w:val="none" w:sz="0" w:space="0" w:color="auto"/>
            <w:left w:val="none" w:sz="0" w:space="0" w:color="auto"/>
            <w:bottom w:val="none" w:sz="0" w:space="0" w:color="auto"/>
            <w:right w:val="none" w:sz="0" w:space="0" w:color="auto"/>
          </w:divBdr>
        </w:div>
        <w:div w:id="1654606824">
          <w:marLeft w:val="0"/>
          <w:marRight w:val="0"/>
          <w:marTop w:val="0"/>
          <w:marBottom w:val="0"/>
          <w:divBdr>
            <w:top w:val="none" w:sz="0" w:space="0" w:color="auto"/>
            <w:left w:val="none" w:sz="0" w:space="0" w:color="auto"/>
            <w:bottom w:val="none" w:sz="0" w:space="0" w:color="auto"/>
            <w:right w:val="none" w:sz="0" w:space="0" w:color="auto"/>
          </w:divBdr>
        </w:div>
        <w:div w:id="98068255">
          <w:marLeft w:val="0"/>
          <w:marRight w:val="0"/>
          <w:marTop w:val="0"/>
          <w:marBottom w:val="0"/>
          <w:divBdr>
            <w:top w:val="none" w:sz="0" w:space="0" w:color="auto"/>
            <w:left w:val="none" w:sz="0" w:space="0" w:color="auto"/>
            <w:bottom w:val="none" w:sz="0" w:space="0" w:color="auto"/>
            <w:right w:val="none" w:sz="0" w:space="0" w:color="auto"/>
          </w:divBdr>
        </w:div>
        <w:div w:id="1435245283">
          <w:marLeft w:val="0"/>
          <w:marRight w:val="0"/>
          <w:marTop w:val="0"/>
          <w:marBottom w:val="0"/>
          <w:divBdr>
            <w:top w:val="none" w:sz="0" w:space="0" w:color="auto"/>
            <w:left w:val="none" w:sz="0" w:space="0" w:color="auto"/>
            <w:bottom w:val="none" w:sz="0" w:space="0" w:color="auto"/>
            <w:right w:val="none" w:sz="0" w:space="0" w:color="auto"/>
          </w:divBdr>
        </w:div>
      </w:divsChild>
    </w:div>
    <w:div w:id="88820601">
      <w:bodyDiv w:val="1"/>
      <w:marLeft w:val="0"/>
      <w:marRight w:val="0"/>
      <w:marTop w:val="0"/>
      <w:marBottom w:val="0"/>
      <w:divBdr>
        <w:top w:val="none" w:sz="0" w:space="0" w:color="auto"/>
        <w:left w:val="none" w:sz="0" w:space="0" w:color="auto"/>
        <w:bottom w:val="none" w:sz="0" w:space="0" w:color="auto"/>
        <w:right w:val="none" w:sz="0" w:space="0" w:color="auto"/>
      </w:divBdr>
      <w:divsChild>
        <w:div w:id="885990538">
          <w:marLeft w:val="0"/>
          <w:marRight w:val="0"/>
          <w:marTop w:val="0"/>
          <w:marBottom w:val="0"/>
          <w:divBdr>
            <w:top w:val="none" w:sz="0" w:space="0" w:color="auto"/>
            <w:left w:val="none" w:sz="0" w:space="0" w:color="auto"/>
            <w:bottom w:val="none" w:sz="0" w:space="0" w:color="auto"/>
            <w:right w:val="none" w:sz="0" w:space="0" w:color="auto"/>
          </w:divBdr>
        </w:div>
        <w:div w:id="1060982557">
          <w:marLeft w:val="0"/>
          <w:marRight w:val="0"/>
          <w:marTop w:val="0"/>
          <w:marBottom w:val="0"/>
          <w:divBdr>
            <w:top w:val="none" w:sz="0" w:space="0" w:color="auto"/>
            <w:left w:val="none" w:sz="0" w:space="0" w:color="auto"/>
            <w:bottom w:val="none" w:sz="0" w:space="0" w:color="auto"/>
            <w:right w:val="none" w:sz="0" w:space="0" w:color="auto"/>
          </w:divBdr>
        </w:div>
        <w:div w:id="396706536">
          <w:marLeft w:val="0"/>
          <w:marRight w:val="0"/>
          <w:marTop w:val="0"/>
          <w:marBottom w:val="0"/>
          <w:divBdr>
            <w:top w:val="none" w:sz="0" w:space="0" w:color="auto"/>
            <w:left w:val="none" w:sz="0" w:space="0" w:color="auto"/>
            <w:bottom w:val="none" w:sz="0" w:space="0" w:color="auto"/>
            <w:right w:val="none" w:sz="0" w:space="0" w:color="auto"/>
          </w:divBdr>
        </w:div>
        <w:div w:id="1643654467">
          <w:marLeft w:val="0"/>
          <w:marRight w:val="0"/>
          <w:marTop w:val="0"/>
          <w:marBottom w:val="0"/>
          <w:divBdr>
            <w:top w:val="none" w:sz="0" w:space="0" w:color="auto"/>
            <w:left w:val="none" w:sz="0" w:space="0" w:color="auto"/>
            <w:bottom w:val="none" w:sz="0" w:space="0" w:color="auto"/>
            <w:right w:val="none" w:sz="0" w:space="0" w:color="auto"/>
          </w:divBdr>
        </w:div>
      </w:divsChild>
    </w:div>
    <w:div w:id="93406452">
      <w:bodyDiv w:val="1"/>
      <w:marLeft w:val="0"/>
      <w:marRight w:val="0"/>
      <w:marTop w:val="0"/>
      <w:marBottom w:val="0"/>
      <w:divBdr>
        <w:top w:val="none" w:sz="0" w:space="0" w:color="auto"/>
        <w:left w:val="none" w:sz="0" w:space="0" w:color="auto"/>
        <w:bottom w:val="none" w:sz="0" w:space="0" w:color="auto"/>
        <w:right w:val="none" w:sz="0" w:space="0" w:color="auto"/>
      </w:divBdr>
      <w:divsChild>
        <w:div w:id="1316565016">
          <w:marLeft w:val="0"/>
          <w:marRight w:val="0"/>
          <w:marTop w:val="0"/>
          <w:marBottom w:val="0"/>
          <w:divBdr>
            <w:top w:val="none" w:sz="0" w:space="0" w:color="auto"/>
            <w:left w:val="none" w:sz="0" w:space="0" w:color="auto"/>
            <w:bottom w:val="none" w:sz="0" w:space="0" w:color="auto"/>
            <w:right w:val="none" w:sz="0" w:space="0" w:color="auto"/>
          </w:divBdr>
        </w:div>
        <w:div w:id="1415081661">
          <w:marLeft w:val="0"/>
          <w:marRight w:val="0"/>
          <w:marTop w:val="0"/>
          <w:marBottom w:val="0"/>
          <w:divBdr>
            <w:top w:val="none" w:sz="0" w:space="0" w:color="auto"/>
            <w:left w:val="none" w:sz="0" w:space="0" w:color="auto"/>
            <w:bottom w:val="none" w:sz="0" w:space="0" w:color="auto"/>
            <w:right w:val="none" w:sz="0" w:space="0" w:color="auto"/>
          </w:divBdr>
        </w:div>
        <w:div w:id="233512780">
          <w:marLeft w:val="0"/>
          <w:marRight w:val="0"/>
          <w:marTop w:val="0"/>
          <w:marBottom w:val="0"/>
          <w:divBdr>
            <w:top w:val="none" w:sz="0" w:space="0" w:color="auto"/>
            <w:left w:val="none" w:sz="0" w:space="0" w:color="auto"/>
            <w:bottom w:val="none" w:sz="0" w:space="0" w:color="auto"/>
            <w:right w:val="none" w:sz="0" w:space="0" w:color="auto"/>
          </w:divBdr>
        </w:div>
        <w:div w:id="1984305687">
          <w:marLeft w:val="0"/>
          <w:marRight w:val="0"/>
          <w:marTop w:val="0"/>
          <w:marBottom w:val="0"/>
          <w:divBdr>
            <w:top w:val="none" w:sz="0" w:space="0" w:color="auto"/>
            <w:left w:val="none" w:sz="0" w:space="0" w:color="auto"/>
            <w:bottom w:val="none" w:sz="0" w:space="0" w:color="auto"/>
            <w:right w:val="none" w:sz="0" w:space="0" w:color="auto"/>
          </w:divBdr>
        </w:div>
      </w:divsChild>
    </w:div>
    <w:div w:id="114644139">
      <w:marLeft w:val="0"/>
      <w:marRight w:val="0"/>
      <w:marTop w:val="0"/>
      <w:marBottom w:val="0"/>
      <w:divBdr>
        <w:top w:val="none" w:sz="0" w:space="0" w:color="auto"/>
        <w:left w:val="none" w:sz="0" w:space="0" w:color="auto"/>
        <w:bottom w:val="none" w:sz="0" w:space="0" w:color="auto"/>
        <w:right w:val="none" w:sz="0" w:space="0" w:color="auto"/>
      </w:divBdr>
      <w:divsChild>
        <w:div w:id="918514339">
          <w:marLeft w:val="0"/>
          <w:marRight w:val="0"/>
          <w:marTop w:val="0"/>
          <w:marBottom w:val="0"/>
          <w:divBdr>
            <w:top w:val="none" w:sz="0" w:space="0" w:color="auto"/>
            <w:left w:val="none" w:sz="0" w:space="0" w:color="auto"/>
            <w:bottom w:val="none" w:sz="0" w:space="0" w:color="auto"/>
            <w:right w:val="none" w:sz="0" w:space="0" w:color="auto"/>
          </w:divBdr>
        </w:div>
        <w:div w:id="35660727">
          <w:marLeft w:val="0"/>
          <w:marRight w:val="0"/>
          <w:marTop w:val="0"/>
          <w:marBottom w:val="0"/>
          <w:divBdr>
            <w:top w:val="none" w:sz="0" w:space="0" w:color="auto"/>
            <w:left w:val="none" w:sz="0" w:space="0" w:color="auto"/>
            <w:bottom w:val="none" w:sz="0" w:space="0" w:color="auto"/>
            <w:right w:val="none" w:sz="0" w:space="0" w:color="auto"/>
          </w:divBdr>
        </w:div>
        <w:div w:id="249435728">
          <w:marLeft w:val="0"/>
          <w:marRight w:val="0"/>
          <w:marTop w:val="0"/>
          <w:marBottom w:val="0"/>
          <w:divBdr>
            <w:top w:val="none" w:sz="0" w:space="0" w:color="auto"/>
            <w:left w:val="none" w:sz="0" w:space="0" w:color="auto"/>
            <w:bottom w:val="none" w:sz="0" w:space="0" w:color="auto"/>
            <w:right w:val="none" w:sz="0" w:space="0" w:color="auto"/>
          </w:divBdr>
        </w:div>
      </w:divsChild>
    </w:div>
    <w:div w:id="146090010">
      <w:bodyDiv w:val="1"/>
      <w:marLeft w:val="0"/>
      <w:marRight w:val="0"/>
      <w:marTop w:val="0"/>
      <w:marBottom w:val="0"/>
      <w:divBdr>
        <w:top w:val="none" w:sz="0" w:space="0" w:color="auto"/>
        <w:left w:val="none" w:sz="0" w:space="0" w:color="auto"/>
        <w:bottom w:val="none" w:sz="0" w:space="0" w:color="auto"/>
        <w:right w:val="none" w:sz="0" w:space="0" w:color="auto"/>
      </w:divBdr>
      <w:divsChild>
        <w:div w:id="1113090102">
          <w:marLeft w:val="0"/>
          <w:marRight w:val="0"/>
          <w:marTop w:val="0"/>
          <w:marBottom w:val="0"/>
          <w:divBdr>
            <w:top w:val="none" w:sz="0" w:space="0" w:color="auto"/>
            <w:left w:val="none" w:sz="0" w:space="0" w:color="auto"/>
            <w:bottom w:val="none" w:sz="0" w:space="0" w:color="auto"/>
            <w:right w:val="none" w:sz="0" w:space="0" w:color="auto"/>
          </w:divBdr>
        </w:div>
        <w:div w:id="1494372739">
          <w:marLeft w:val="0"/>
          <w:marRight w:val="0"/>
          <w:marTop w:val="0"/>
          <w:marBottom w:val="0"/>
          <w:divBdr>
            <w:top w:val="none" w:sz="0" w:space="0" w:color="auto"/>
            <w:left w:val="none" w:sz="0" w:space="0" w:color="auto"/>
            <w:bottom w:val="none" w:sz="0" w:space="0" w:color="auto"/>
            <w:right w:val="none" w:sz="0" w:space="0" w:color="auto"/>
          </w:divBdr>
        </w:div>
        <w:div w:id="1082722609">
          <w:marLeft w:val="0"/>
          <w:marRight w:val="0"/>
          <w:marTop w:val="0"/>
          <w:marBottom w:val="0"/>
          <w:divBdr>
            <w:top w:val="none" w:sz="0" w:space="0" w:color="auto"/>
            <w:left w:val="none" w:sz="0" w:space="0" w:color="auto"/>
            <w:bottom w:val="none" w:sz="0" w:space="0" w:color="auto"/>
            <w:right w:val="none" w:sz="0" w:space="0" w:color="auto"/>
          </w:divBdr>
        </w:div>
        <w:div w:id="1088386600">
          <w:marLeft w:val="0"/>
          <w:marRight w:val="0"/>
          <w:marTop w:val="0"/>
          <w:marBottom w:val="0"/>
          <w:divBdr>
            <w:top w:val="none" w:sz="0" w:space="0" w:color="auto"/>
            <w:left w:val="none" w:sz="0" w:space="0" w:color="auto"/>
            <w:bottom w:val="none" w:sz="0" w:space="0" w:color="auto"/>
            <w:right w:val="none" w:sz="0" w:space="0" w:color="auto"/>
          </w:divBdr>
        </w:div>
      </w:divsChild>
    </w:div>
    <w:div w:id="209807795">
      <w:bodyDiv w:val="1"/>
      <w:marLeft w:val="0"/>
      <w:marRight w:val="0"/>
      <w:marTop w:val="0"/>
      <w:marBottom w:val="0"/>
      <w:divBdr>
        <w:top w:val="none" w:sz="0" w:space="0" w:color="auto"/>
        <w:left w:val="none" w:sz="0" w:space="0" w:color="auto"/>
        <w:bottom w:val="none" w:sz="0" w:space="0" w:color="auto"/>
        <w:right w:val="none" w:sz="0" w:space="0" w:color="auto"/>
      </w:divBdr>
      <w:divsChild>
        <w:div w:id="948269915">
          <w:marLeft w:val="0"/>
          <w:marRight w:val="0"/>
          <w:marTop w:val="0"/>
          <w:marBottom w:val="0"/>
          <w:divBdr>
            <w:top w:val="none" w:sz="0" w:space="0" w:color="auto"/>
            <w:left w:val="none" w:sz="0" w:space="0" w:color="auto"/>
            <w:bottom w:val="none" w:sz="0" w:space="0" w:color="auto"/>
            <w:right w:val="none" w:sz="0" w:space="0" w:color="auto"/>
          </w:divBdr>
        </w:div>
        <w:div w:id="1855611702">
          <w:marLeft w:val="0"/>
          <w:marRight w:val="0"/>
          <w:marTop w:val="0"/>
          <w:marBottom w:val="0"/>
          <w:divBdr>
            <w:top w:val="none" w:sz="0" w:space="0" w:color="auto"/>
            <w:left w:val="none" w:sz="0" w:space="0" w:color="auto"/>
            <w:bottom w:val="none" w:sz="0" w:space="0" w:color="auto"/>
            <w:right w:val="none" w:sz="0" w:space="0" w:color="auto"/>
          </w:divBdr>
        </w:div>
        <w:div w:id="777262425">
          <w:marLeft w:val="0"/>
          <w:marRight w:val="0"/>
          <w:marTop w:val="0"/>
          <w:marBottom w:val="0"/>
          <w:divBdr>
            <w:top w:val="none" w:sz="0" w:space="0" w:color="auto"/>
            <w:left w:val="none" w:sz="0" w:space="0" w:color="auto"/>
            <w:bottom w:val="none" w:sz="0" w:space="0" w:color="auto"/>
            <w:right w:val="none" w:sz="0" w:space="0" w:color="auto"/>
          </w:divBdr>
        </w:div>
        <w:div w:id="565607510">
          <w:marLeft w:val="0"/>
          <w:marRight w:val="0"/>
          <w:marTop w:val="0"/>
          <w:marBottom w:val="0"/>
          <w:divBdr>
            <w:top w:val="none" w:sz="0" w:space="0" w:color="auto"/>
            <w:left w:val="none" w:sz="0" w:space="0" w:color="auto"/>
            <w:bottom w:val="none" w:sz="0" w:space="0" w:color="auto"/>
            <w:right w:val="none" w:sz="0" w:space="0" w:color="auto"/>
          </w:divBdr>
        </w:div>
      </w:divsChild>
    </w:div>
    <w:div w:id="230623043">
      <w:bodyDiv w:val="1"/>
      <w:marLeft w:val="0"/>
      <w:marRight w:val="0"/>
      <w:marTop w:val="0"/>
      <w:marBottom w:val="0"/>
      <w:divBdr>
        <w:top w:val="none" w:sz="0" w:space="0" w:color="auto"/>
        <w:left w:val="none" w:sz="0" w:space="0" w:color="auto"/>
        <w:bottom w:val="none" w:sz="0" w:space="0" w:color="auto"/>
        <w:right w:val="none" w:sz="0" w:space="0" w:color="auto"/>
      </w:divBdr>
      <w:divsChild>
        <w:div w:id="51925909">
          <w:marLeft w:val="0"/>
          <w:marRight w:val="0"/>
          <w:marTop w:val="0"/>
          <w:marBottom w:val="0"/>
          <w:divBdr>
            <w:top w:val="none" w:sz="0" w:space="0" w:color="auto"/>
            <w:left w:val="none" w:sz="0" w:space="0" w:color="auto"/>
            <w:bottom w:val="none" w:sz="0" w:space="0" w:color="auto"/>
            <w:right w:val="none" w:sz="0" w:space="0" w:color="auto"/>
          </w:divBdr>
        </w:div>
        <w:div w:id="870413048">
          <w:marLeft w:val="0"/>
          <w:marRight w:val="0"/>
          <w:marTop w:val="0"/>
          <w:marBottom w:val="0"/>
          <w:divBdr>
            <w:top w:val="none" w:sz="0" w:space="0" w:color="auto"/>
            <w:left w:val="none" w:sz="0" w:space="0" w:color="auto"/>
            <w:bottom w:val="none" w:sz="0" w:space="0" w:color="auto"/>
            <w:right w:val="none" w:sz="0" w:space="0" w:color="auto"/>
          </w:divBdr>
        </w:div>
        <w:div w:id="725253037">
          <w:marLeft w:val="0"/>
          <w:marRight w:val="0"/>
          <w:marTop w:val="0"/>
          <w:marBottom w:val="0"/>
          <w:divBdr>
            <w:top w:val="none" w:sz="0" w:space="0" w:color="auto"/>
            <w:left w:val="none" w:sz="0" w:space="0" w:color="auto"/>
            <w:bottom w:val="none" w:sz="0" w:space="0" w:color="auto"/>
            <w:right w:val="none" w:sz="0" w:space="0" w:color="auto"/>
          </w:divBdr>
        </w:div>
        <w:div w:id="1172841558">
          <w:marLeft w:val="0"/>
          <w:marRight w:val="0"/>
          <w:marTop w:val="0"/>
          <w:marBottom w:val="0"/>
          <w:divBdr>
            <w:top w:val="none" w:sz="0" w:space="0" w:color="auto"/>
            <w:left w:val="none" w:sz="0" w:space="0" w:color="auto"/>
            <w:bottom w:val="none" w:sz="0" w:space="0" w:color="auto"/>
            <w:right w:val="none" w:sz="0" w:space="0" w:color="auto"/>
          </w:divBdr>
        </w:div>
      </w:divsChild>
    </w:div>
    <w:div w:id="236136858">
      <w:bodyDiv w:val="1"/>
      <w:marLeft w:val="0"/>
      <w:marRight w:val="0"/>
      <w:marTop w:val="0"/>
      <w:marBottom w:val="0"/>
      <w:divBdr>
        <w:top w:val="none" w:sz="0" w:space="0" w:color="auto"/>
        <w:left w:val="none" w:sz="0" w:space="0" w:color="auto"/>
        <w:bottom w:val="none" w:sz="0" w:space="0" w:color="auto"/>
        <w:right w:val="none" w:sz="0" w:space="0" w:color="auto"/>
      </w:divBdr>
      <w:divsChild>
        <w:div w:id="605815772">
          <w:marLeft w:val="0"/>
          <w:marRight w:val="0"/>
          <w:marTop w:val="0"/>
          <w:marBottom w:val="0"/>
          <w:divBdr>
            <w:top w:val="none" w:sz="0" w:space="0" w:color="auto"/>
            <w:left w:val="none" w:sz="0" w:space="0" w:color="auto"/>
            <w:bottom w:val="none" w:sz="0" w:space="0" w:color="auto"/>
            <w:right w:val="none" w:sz="0" w:space="0" w:color="auto"/>
          </w:divBdr>
        </w:div>
        <w:div w:id="1815490986">
          <w:marLeft w:val="0"/>
          <w:marRight w:val="0"/>
          <w:marTop w:val="0"/>
          <w:marBottom w:val="0"/>
          <w:divBdr>
            <w:top w:val="none" w:sz="0" w:space="0" w:color="auto"/>
            <w:left w:val="none" w:sz="0" w:space="0" w:color="auto"/>
            <w:bottom w:val="none" w:sz="0" w:space="0" w:color="auto"/>
            <w:right w:val="none" w:sz="0" w:space="0" w:color="auto"/>
          </w:divBdr>
        </w:div>
        <w:div w:id="1773546344">
          <w:marLeft w:val="0"/>
          <w:marRight w:val="0"/>
          <w:marTop w:val="0"/>
          <w:marBottom w:val="0"/>
          <w:divBdr>
            <w:top w:val="none" w:sz="0" w:space="0" w:color="auto"/>
            <w:left w:val="none" w:sz="0" w:space="0" w:color="auto"/>
            <w:bottom w:val="none" w:sz="0" w:space="0" w:color="auto"/>
            <w:right w:val="none" w:sz="0" w:space="0" w:color="auto"/>
          </w:divBdr>
        </w:div>
        <w:div w:id="905409010">
          <w:marLeft w:val="0"/>
          <w:marRight w:val="0"/>
          <w:marTop w:val="0"/>
          <w:marBottom w:val="0"/>
          <w:divBdr>
            <w:top w:val="none" w:sz="0" w:space="0" w:color="auto"/>
            <w:left w:val="none" w:sz="0" w:space="0" w:color="auto"/>
            <w:bottom w:val="none" w:sz="0" w:space="0" w:color="auto"/>
            <w:right w:val="none" w:sz="0" w:space="0" w:color="auto"/>
          </w:divBdr>
        </w:div>
      </w:divsChild>
    </w:div>
    <w:div w:id="316499298">
      <w:bodyDiv w:val="1"/>
      <w:marLeft w:val="0"/>
      <w:marRight w:val="0"/>
      <w:marTop w:val="0"/>
      <w:marBottom w:val="0"/>
      <w:divBdr>
        <w:top w:val="none" w:sz="0" w:space="0" w:color="auto"/>
        <w:left w:val="none" w:sz="0" w:space="0" w:color="auto"/>
        <w:bottom w:val="none" w:sz="0" w:space="0" w:color="auto"/>
        <w:right w:val="none" w:sz="0" w:space="0" w:color="auto"/>
      </w:divBdr>
      <w:divsChild>
        <w:div w:id="2020305249">
          <w:marLeft w:val="0"/>
          <w:marRight w:val="0"/>
          <w:marTop w:val="0"/>
          <w:marBottom w:val="0"/>
          <w:divBdr>
            <w:top w:val="none" w:sz="0" w:space="0" w:color="auto"/>
            <w:left w:val="none" w:sz="0" w:space="0" w:color="auto"/>
            <w:bottom w:val="none" w:sz="0" w:space="0" w:color="auto"/>
            <w:right w:val="none" w:sz="0" w:space="0" w:color="auto"/>
          </w:divBdr>
        </w:div>
        <w:div w:id="21177273">
          <w:marLeft w:val="0"/>
          <w:marRight w:val="0"/>
          <w:marTop w:val="0"/>
          <w:marBottom w:val="0"/>
          <w:divBdr>
            <w:top w:val="none" w:sz="0" w:space="0" w:color="auto"/>
            <w:left w:val="none" w:sz="0" w:space="0" w:color="auto"/>
            <w:bottom w:val="none" w:sz="0" w:space="0" w:color="auto"/>
            <w:right w:val="none" w:sz="0" w:space="0" w:color="auto"/>
          </w:divBdr>
        </w:div>
        <w:div w:id="1075397090">
          <w:marLeft w:val="0"/>
          <w:marRight w:val="0"/>
          <w:marTop w:val="0"/>
          <w:marBottom w:val="0"/>
          <w:divBdr>
            <w:top w:val="none" w:sz="0" w:space="0" w:color="auto"/>
            <w:left w:val="none" w:sz="0" w:space="0" w:color="auto"/>
            <w:bottom w:val="none" w:sz="0" w:space="0" w:color="auto"/>
            <w:right w:val="none" w:sz="0" w:space="0" w:color="auto"/>
          </w:divBdr>
        </w:div>
        <w:div w:id="1865556681">
          <w:marLeft w:val="0"/>
          <w:marRight w:val="0"/>
          <w:marTop w:val="0"/>
          <w:marBottom w:val="0"/>
          <w:divBdr>
            <w:top w:val="none" w:sz="0" w:space="0" w:color="auto"/>
            <w:left w:val="none" w:sz="0" w:space="0" w:color="auto"/>
            <w:bottom w:val="none" w:sz="0" w:space="0" w:color="auto"/>
            <w:right w:val="none" w:sz="0" w:space="0" w:color="auto"/>
          </w:divBdr>
        </w:div>
      </w:divsChild>
    </w:div>
    <w:div w:id="339742366">
      <w:bodyDiv w:val="1"/>
      <w:marLeft w:val="0"/>
      <w:marRight w:val="0"/>
      <w:marTop w:val="0"/>
      <w:marBottom w:val="0"/>
      <w:divBdr>
        <w:top w:val="none" w:sz="0" w:space="0" w:color="auto"/>
        <w:left w:val="none" w:sz="0" w:space="0" w:color="auto"/>
        <w:bottom w:val="none" w:sz="0" w:space="0" w:color="auto"/>
        <w:right w:val="none" w:sz="0" w:space="0" w:color="auto"/>
      </w:divBdr>
      <w:divsChild>
        <w:div w:id="638922849">
          <w:marLeft w:val="0"/>
          <w:marRight w:val="0"/>
          <w:marTop w:val="0"/>
          <w:marBottom w:val="0"/>
          <w:divBdr>
            <w:top w:val="none" w:sz="0" w:space="0" w:color="auto"/>
            <w:left w:val="none" w:sz="0" w:space="0" w:color="auto"/>
            <w:bottom w:val="none" w:sz="0" w:space="0" w:color="auto"/>
            <w:right w:val="none" w:sz="0" w:space="0" w:color="auto"/>
          </w:divBdr>
        </w:div>
        <w:div w:id="569921634">
          <w:marLeft w:val="0"/>
          <w:marRight w:val="0"/>
          <w:marTop w:val="0"/>
          <w:marBottom w:val="0"/>
          <w:divBdr>
            <w:top w:val="none" w:sz="0" w:space="0" w:color="auto"/>
            <w:left w:val="none" w:sz="0" w:space="0" w:color="auto"/>
            <w:bottom w:val="none" w:sz="0" w:space="0" w:color="auto"/>
            <w:right w:val="none" w:sz="0" w:space="0" w:color="auto"/>
          </w:divBdr>
        </w:div>
        <w:div w:id="1686443021">
          <w:marLeft w:val="0"/>
          <w:marRight w:val="0"/>
          <w:marTop w:val="0"/>
          <w:marBottom w:val="0"/>
          <w:divBdr>
            <w:top w:val="none" w:sz="0" w:space="0" w:color="auto"/>
            <w:left w:val="none" w:sz="0" w:space="0" w:color="auto"/>
            <w:bottom w:val="none" w:sz="0" w:space="0" w:color="auto"/>
            <w:right w:val="none" w:sz="0" w:space="0" w:color="auto"/>
          </w:divBdr>
        </w:div>
        <w:div w:id="670644292">
          <w:marLeft w:val="0"/>
          <w:marRight w:val="0"/>
          <w:marTop w:val="0"/>
          <w:marBottom w:val="0"/>
          <w:divBdr>
            <w:top w:val="none" w:sz="0" w:space="0" w:color="auto"/>
            <w:left w:val="none" w:sz="0" w:space="0" w:color="auto"/>
            <w:bottom w:val="none" w:sz="0" w:space="0" w:color="auto"/>
            <w:right w:val="none" w:sz="0" w:space="0" w:color="auto"/>
          </w:divBdr>
        </w:div>
      </w:divsChild>
    </w:div>
    <w:div w:id="386495374">
      <w:bodyDiv w:val="1"/>
      <w:marLeft w:val="0"/>
      <w:marRight w:val="0"/>
      <w:marTop w:val="0"/>
      <w:marBottom w:val="0"/>
      <w:divBdr>
        <w:top w:val="none" w:sz="0" w:space="0" w:color="auto"/>
        <w:left w:val="none" w:sz="0" w:space="0" w:color="auto"/>
        <w:bottom w:val="none" w:sz="0" w:space="0" w:color="auto"/>
        <w:right w:val="none" w:sz="0" w:space="0" w:color="auto"/>
      </w:divBdr>
      <w:divsChild>
        <w:div w:id="8334456">
          <w:marLeft w:val="0"/>
          <w:marRight w:val="0"/>
          <w:marTop w:val="0"/>
          <w:marBottom w:val="0"/>
          <w:divBdr>
            <w:top w:val="none" w:sz="0" w:space="0" w:color="auto"/>
            <w:left w:val="none" w:sz="0" w:space="0" w:color="auto"/>
            <w:bottom w:val="none" w:sz="0" w:space="0" w:color="auto"/>
            <w:right w:val="none" w:sz="0" w:space="0" w:color="auto"/>
          </w:divBdr>
        </w:div>
        <w:div w:id="1293706877">
          <w:marLeft w:val="0"/>
          <w:marRight w:val="0"/>
          <w:marTop w:val="0"/>
          <w:marBottom w:val="0"/>
          <w:divBdr>
            <w:top w:val="none" w:sz="0" w:space="0" w:color="auto"/>
            <w:left w:val="none" w:sz="0" w:space="0" w:color="auto"/>
            <w:bottom w:val="none" w:sz="0" w:space="0" w:color="auto"/>
            <w:right w:val="none" w:sz="0" w:space="0" w:color="auto"/>
          </w:divBdr>
        </w:div>
        <w:div w:id="892890186">
          <w:marLeft w:val="0"/>
          <w:marRight w:val="0"/>
          <w:marTop w:val="0"/>
          <w:marBottom w:val="0"/>
          <w:divBdr>
            <w:top w:val="none" w:sz="0" w:space="0" w:color="auto"/>
            <w:left w:val="none" w:sz="0" w:space="0" w:color="auto"/>
            <w:bottom w:val="none" w:sz="0" w:space="0" w:color="auto"/>
            <w:right w:val="none" w:sz="0" w:space="0" w:color="auto"/>
          </w:divBdr>
        </w:div>
        <w:div w:id="362681679">
          <w:marLeft w:val="0"/>
          <w:marRight w:val="0"/>
          <w:marTop w:val="0"/>
          <w:marBottom w:val="0"/>
          <w:divBdr>
            <w:top w:val="none" w:sz="0" w:space="0" w:color="auto"/>
            <w:left w:val="none" w:sz="0" w:space="0" w:color="auto"/>
            <w:bottom w:val="none" w:sz="0" w:space="0" w:color="auto"/>
            <w:right w:val="none" w:sz="0" w:space="0" w:color="auto"/>
          </w:divBdr>
        </w:div>
      </w:divsChild>
    </w:div>
    <w:div w:id="402411767">
      <w:bodyDiv w:val="1"/>
      <w:marLeft w:val="0"/>
      <w:marRight w:val="0"/>
      <w:marTop w:val="0"/>
      <w:marBottom w:val="0"/>
      <w:divBdr>
        <w:top w:val="none" w:sz="0" w:space="0" w:color="auto"/>
        <w:left w:val="none" w:sz="0" w:space="0" w:color="auto"/>
        <w:bottom w:val="none" w:sz="0" w:space="0" w:color="auto"/>
        <w:right w:val="none" w:sz="0" w:space="0" w:color="auto"/>
      </w:divBdr>
      <w:divsChild>
        <w:div w:id="1008601779">
          <w:marLeft w:val="0"/>
          <w:marRight w:val="0"/>
          <w:marTop w:val="0"/>
          <w:marBottom w:val="0"/>
          <w:divBdr>
            <w:top w:val="none" w:sz="0" w:space="0" w:color="auto"/>
            <w:left w:val="none" w:sz="0" w:space="0" w:color="auto"/>
            <w:bottom w:val="none" w:sz="0" w:space="0" w:color="auto"/>
            <w:right w:val="none" w:sz="0" w:space="0" w:color="auto"/>
          </w:divBdr>
        </w:div>
        <w:div w:id="914901426">
          <w:marLeft w:val="0"/>
          <w:marRight w:val="0"/>
          <w:marTop w:val="0"/>
          <w:marBottom w:val="0"/>
          <w:divBdr>
            <w:top w:val="none" w:sz="0" w:space="0" w:color="auto"/>
            <w:left w:val="none" w:sz="0" w:space="0" w:color="auto"/>
            <w:bottom w:val="none" w:sz="0" w:space="0" w:color="auto"/>
            <w:right w:val="none" w:sz="0" w:space="0" w:color="auto"/>
          </w:divBdr>
        </w:div>
        <w:div w:id="585384155">
          <w:marLeft w:val="0"/>
          <w:marRight w:val="0"/>
          <w:marTop w:val="0"/>
          <w:marBottom w:val="0"/>
          <w:divBdr>
            <w:top w:val="none" w:sz="0" w:space="0" w:color="auto"/>
            <w:left w:val="none" w:sz="0" w:space="0" w:color="auto"/>
            <w:bottom w:val="none" w:sz="0" w:space="0" w:color="auto"/>
            <w:right w:val="none" w:sz="0" w:space="0" w:color="auto"/>
          </w:divBdr>
        </w:div>
        <w:div w:id="228153904">
          <w:marLeft w:val="0"/>
          <w:marRight w:val="0"/>
          <w:marTop w:val="0"/>
          <w:marBottom w:val="0"/>
          <w:divBdr>
            <w:top w:val="none" w:sz="0" w:space="0" w:color="auto"/>
            <w:left w:val="none" w:sz="0" w:space="0" w:color="auto"/>
            <w:bottom w:val="none" w:sz="0" w:space="0" w:color="auto"/>
            <w:right w:val="none" w:sz="0" w:space="0" w:color="auto"/>
          </w:divBdr>
        </w:div>
      </w:divsChild>
    </w:div>
    <w:div w:id="409352967">
      <w:bodyDiv w:val="1"/>
      <w:marLeft w:val="0"/>
      <w:marRight w:val="0"/>
      <w:marTop w:val="0"/>
      <w:marBottom w:val="0"/>
      <w:divBdr>
        <w:top w:val="none" w:sz="0" w:space="0" w:color="auto"/>
        <w:left w:val="none" w:sz="0" w:space="0" w:color="auto"/>
        <w:bottom w:val="none" w:sz="0" w:space="0" w:color="auto"/>
        <w:right w:val="none" w:sz="0" w:space="0" w:color="auto"/>
      </w:divBdr>
      <w:divsChild>
        <w:div w:id="998849605">
          <w:marLeft w:val="0"/>
          <w:marRight w:val="0"/>
          <w:marTop w:val="0"/>
          <w:marBottom w:val="0"/>
          <w:divBdr>
            <w:top w:val="none" w:sz="0" w:space="0" w:color="auto"/>
            <w:left w:val="none" w:sz="0" w:space="0" w:color="auto"/>
            <w:bottom w:val="none" w:sz="0" w:space="0" w:color="auto"/>
            <w:right w:val="none" w:sz="0" w:space="0" w:color="auto"/>
          </w:divBdr>
        </w:div>
        <w:div w:id="1287467634">
          <w:marLeft w:val="0"/>
          <w:marRight w:val="0"/>
          <w:marTop w:val="0"/>
          <w:marBottom w:val="0"/>
          <w:divBdr>
            <w:top w:val="none" w:sz="0" w:space="0" w:color="auto"/>
            <w:left w:val="none" w:sz="0" w:space="0" w:color="auto"/>
            <w:bottom w:val="none" w:sz="0" w:space="0" w:color="auto"/>
            <w:right w:val="none" w:sz="0" w:space="0" w:color="auto"/>
          </w:divBdr>
        </w:div>
        <w:div w:id="1262882180">
          <w:marLeft w:val="0"/>
          <w:marRight w:val="0"/>
          <w:marTop w:val="0"/>
          <w:marBottom w:val="0"/>
          <w:divBdr>
            <w:top w:val="none" w:sz="0" w:space="0" w:color="auto"/>
            <w:left w:val="none" w:sz="0" w:space="0" w:color="auto"/>
            <w:bottom w:val="none" w:sz="0" w:space="0" w:color="auto"/>
            <w:right w:val="none" w:sz="0" w:space="0" w:color="auto"/>
          </w:divBdr>
        </w:div>
        <w:div w:id="1911573033">
          <w:marLeft w:val="0"/>
          <w:marRight w:val="0"/>
          <w:marTop w:val="0"/>
          <w:marBottom w:val="0"/>
          <w:divBdr>
            <w:top w:val="none" w:sz="0" w:space="0" w:color="auto"/>
            <w:left w:val="none" w:sz="0" w:space="0" w:color="auto"/>
            <w:bottom w:val="none" w:sz="0" w:space="0" w:color="auto"/>
            <w:right w:val="none" w:sz="0" w:space="0" w:color="auto"/>
          </w:divBdr>
        </w:div>
      </w:divsChild>
    </w:div>
    <w:div w:id="409810316">
      <w:bodyDiv w:val="1"/>
      <w:marLeft w:val="0"/>
      <w:marRight w:val="0"/>
      <w:marTop w:val="0"/>
      <w:marBottom w:val="0"/>
      <w:divBdr>
        <w:top w:val="none" w:sz="0" w:space="0" w:color="auto"/>
        <w:left w:val="none" w:sz="0" w:space="0" w:color="auto"/>
        <w:bottom w:val="none" w:sz="0" w:space="0" w:color="auto"/>
        <w:right w:val="none" w:sz="0" w:space="0" w:color="auto"/>
      </w:divBdr>
      <w:divsChild>
        <w:div w:id="556820585">
          <w:marLeft w:val="0"/>
          <w:marRight w:val="0"/>
          <w:marTop w:val="0"/>
          <w:marBottom w:val="0"/>
          <w:divBdr>
            <w:top w:val="none" w:sz="0" w:space="0" w:color="auto"/>
            <w:left w:val="none" w:sz="0" w:space="0" w:color="auto"/>
            <w:bottom w:val="none" w:sz="0" w:space="0" w:color="auto"/>
            <w:right w:val="none" w:sz="0" w:space="0" w:color="auto"/>
          </w:divBdr>
        </w:div>
        <w:div w:id="2107115771">
          <w:marLeft w:val="0"/>
          <w:marRight w:val="0"/>
          <w:marTop w:val="0"/>
          <w:marBottom w:val="0"/>
          <w:divBdr>
            <w:top w:val="none" w:sz="0" w:space="0" w:color="auto"/>
            <w:left w:val="none" w:sz="0" w:space="0" w:color="auto"/>
            <w:bottom w:val="none" w:sz="0" w:space="0" w:color="auto"/>
            <w:right w:val="none" w:sz="0" w:space="0" w:color="auto"/>
          </w:divBdr>
        </w:div>
        <w:div w:id="439496740">
          <w:marLeft w:val="0"/>
          <w:marRight w:val="0"/>
          <w:marTop w:val="0"/>
          <w:marBottom w:val="0"/>
          <w:divBdr>
            <w:top w:val="none" w:sz="0" w:space="0" w:color="auto"/>
            <w:left w:val="none" w:sz="0" w:space="0" w:color="auto"/>
            <w:bottom w:val="none" w:sz="0" w:space="0" w:color="auto"/>
            <w:right w:val="none" w:sz="0" w:space="0" w:color="auto"/>
          </w:divBdr>
        </w:div>
        <w:div w:id="768622230">
          <w:marLeft w:val="0"/>
          <w:marRight w:val="0"/>
          <w:marTop w:val="0"/>
          <w:marBottom w:val="0"/>
          <w:divBdr>
            <w:top w:val="none" w:sz="0" w:space="0" w:color="auto"/>
            <w:left w:val="none" w:sz="0" w:space="0" w:color="auto"/>
            <w:bottom w:val="none" w:sz="0" w:space="0" w:color="auto"/>
            <w:right w:val="none" w:sz="0" w:space="0" w:color="auto"/>
          </w:divBdr>
        </w:div>
      </w:divsChild>
    </w:div>
    <w:div w:id="413666732">
      <w:marLeft w:val="0"/>
      <w:marRight w:val="0"/>
      <w:marTop w:val="0"/>
      <w:marBottom w:val="0"/>
      <w:divBdr>
        <w:top w:val="none" w:sz="0" w:space="0" w:color="auto"/>
        <w:left w:val="none" w:sz="0" w:space="0" w:color="auto"/>
        <w:bottom w:val="none" w:sz="0" w:space="0" w:color="auto"/>
        <w:right w:val="none" w:sz="0" w:space="0" w:color="auto"/>
      </w:divBdr>
      <w:divsChild>
        <w:div w:id="905795441">
          <w:marLeft w:val="0"/>
          <w:marRight w:val="0"/>
          <w:marTop w:val="0"/>
          <w:marBottom w:val="0"/>
          <w:divBdr>
            <w:top w:val="none" w:sz="0" w:space="0" w:color="auto"/>
            <w:left w:val="none" w:sz="0" w:space="0" w:color="auto"/>
            <w:bottom w:val="none" w:sz="0" w:space="0" w:color="auto"/>
            <w:right w:val="none" w:sz="0" w:space="0" w:color="auto"/>
          </w:divBdr>
        </w:div>
        <w:div w:id="811751752">
          <w:marLeft w:val="0"/>
          <w:marRight w:val="0"/>
          <w:marTop w:val="0"/>
          <w:marBottom w:val="0"/>
          <w:divBdr>
            <w:top w:val="none" w:sz="0" w:space="0" w:color="auto"/>
            <w:left w:val="none" w:sz="0" w:space="0" w:color="auto"/>
            <w:bottom w:val="none" w:sz="0" w:space="0" w:color="auto"/>
            <w:right w:val="none" w:sz="0" w:space="0" w:color="auto"/>
          </w:divBdr>
        </w:div>
        <w:div w:id="391274093">
          <w:marLeft w:val="0"/>
          <w:marRight w:val="0"/>
          <w:marTop w:val="0"/>
          <w:marBottom w:val="0"/>
          <w:divBdr>
            <w:top w:val="none" w:sz="0" w:space="0" w:color="auto"/>
            <w:left w:val="none" w:sz="0" w:space="0" w:color="auto"/>
            <w:bottom w:val="none" w:sz="0" w:space="0" w:color="auto"/>
            <w:right w:val="none" w:sz="0" w:space="0" w:color="auto"/>
          </w:divBdr>
        </w:div>
      </w:divsChild>
    </w:div>
    <w:div w:id="418791568">
      <w:marLeft w:val="0"/>
      <w:marRight w:val="0"/>
      <w:marTop w:val="0"/>
      <w:marBottom w:val="0"/>
      <w:divBdr>
        <w:top w:val="none" w:sz="0" w:space="0" w:color="auto"/>
        <w:left w:val="none" w:sz="0" w:space="0" w:color="auto"/>
        <w:bottom w:val="none" w:sz="0" w:space="0" w:color="auto"/>
        <w:right w:val="none" w:sz="0" w:space="0" w:color="auto"/>
      </w:divBdr>
      <w:divsChild>
        <w:div w:id="371927108">
          <w:marLeft w:val="0"/>
          <w:marRight w:val="0"/>
          <w:marTop w:val="0"/>
          <w:marBottom w:val="0"/>
          <w:divBdr>
            <w:top w:val="none" w:sz="0" w:space="0" w:color="auto"/>
            <w:left w:val="none" w:sz="0" w:space="0" w:color="auto"/>
            <w:bottom w:val="none" w:sz="0" w:space="0" w:color="auto"/>
            <w:right w:val="none" w:sz="0" w:space="0" w:color="auto"/>
          </w:divBdr>
        </w:div>
        <w:div w:id="1389299382">
          <w:marLeft w:val="0"/>
          <w:marRight w:val="0"/>
          <w:marTop w:val="0"/>
          <w:marBottom w:val="0"/>
          <w:divBdr>
            <w:top w:val="none" w:sz="0" w:space="0" w:color="auto"/>
            <w:left w:val="none" w:sz="0" w:space="0" w:color="auto"/>
            <w:bottom w:val="none" w:sz="0" w:space="0" w:color="auto"/>
            <w:right w:val="none" w:sz="0" w:space="0" w:color="auto"/>
          </w:divBdr>
        </w:div>
        <w:div w:id="406002814">
          <w:marLeft w:val="0"/>
          <w:marRight w:val="0"/>
          <w:marTop w:val="0"/>
          <w:marBottom w:val="0"/>
          <w:divBdr>
            <w:top w:val="none" w:sz="0" w:space="0" w:color="auto"/>
            <w:left w:val="none" w:sz="0" w:space="0" w:color="auto"/>
            <w:bottom w:val="none" w:sz="0" w:space="0" w:color="auto"/>
            <w:right w:val="none" w:sz="0" w:space="0" w:color="auto"/>
          </w:divBdr>
        </w:div>
      </w:divsChild>
    </w:div>
    <w:div w:id="445541078">
      <w:bodyDiv w:val="1"/>
      <w:marLeft w:val="0"/>
      <w:marRight w:val="0"/>
      <w:marTop w:val="0"/>
      <w:marBottom w:val="0"/>
      <w:divBdr>
        <w:top w:val="none" w:sz="0" w:space="0" w:color="auto"/>
        <w:left w:val="none" w:sz="0" w:space="0" w:color="auto"/>
        <w:bottom w:val="none" w:sz="0" w:space="0" w:color="auto"/>
        <w:right w:val="none" w:sz="0" w:space="0" w:color="auto"/>
      </w:divBdr>
      <w:divsChild>
        <w:div w:id="15615864">
          <w:marLeft w:val="0"/>
          <w:marRight w:val="0"/>
          <w:marTop w:val="0"/>
          <w:marBottom w:val="0"/>
          <w:divBdr>
            <w:top w:val="none" w:sz="0" w:space="0" w:color="auto"/>
            <w:left w:val="none" w:sz="0" w:space="0" w:color="auto"/>
            <w:bottom w:val="none" w:sz="0" w:space="0" w:color="auto"/>
            <w:right w:val="none" w:sz="0" w:space="0" w:color="auto"/>
          </w:divBdr>
        </w:div>
        <w:div w:id="579487953">
          <w:marLeft w:val="0"/>
          <w:marRight w:val="0"/>
          <w:marTop w:val="0"/>
          <w:marBottom w:val="0"/>
          <w:divBdr>
            <w:top w:val="none" w:sz="0" w:space="0" w:color="auto"/>
            <w:left w:val="none" w:sz="0" w:space="0" w:color="auto"/>
            <w:bottom w:val="none" w:sz="0" w:space="0" w:color="auto"/>
            <w:right w:val="none" w:sz="0" w:space="0" w:color="auto"/>
          </w:divBdr>
        </w:div>
        <w:div w:id="1848785231">
          <w:marLeft w:val="0"/>
          <w:marRight w:val="0"/>
          <w:marTop w:val="0"/>
          <w:marBottom w:val="0"/>
          <w:divBdr>
            <w:top w:val="none" w:sz="0" w:space="0" w:color="auto"/>
            <w:left w:val="none" w:sz="0" w:space="0" w:color="auto"/>
            <w:bottom w:val="none" w:sz="0" w:space="0" w:color="auto"/>
            <w:right w:val="none" w:sz="0" w:space="0" w:color="auto"/>
          </w:divBdr>
        </w:div>
        <w:div w:id="1607149481">
          <w:marLeft w:val="0"/>
          <w:marRight w:val="0"/>
          <w:marTop w:val="0"/>
          <w:marBottom w:val="0"/>
          <w:divBdr>
            <w:top w:val="none" w:sz="0" w:space="0" w:color="auto"/>
            <w:left w:val="none" w:sz="0" w:space="0" w:color="auto"/>
            <w:bottom w:val="none" w:sz="0" w:space="0" w:color="auto"/>
            <w:right w:val="none" w:sz="0" w:space="0" w:color="auto"/>
          </w:divBdr>
        </w:div>
      </w:divsChild>
    </w:div>
    <w:div w:id="680394868">
      <w:bodyDiv w:val="1"/>
      <w:marLeft w:val="0"/>
      <w:marRight w:val="0"/>
      <w:marTop w:val="0"/>
      <w:marBottom w:val="0"/>
      <w:divBdr>
        <w:top w:val="none" w:sz="0" w:space="0" w:color="auto"/>
        <w:left w:val="none" w:sz="0" w:space="0" w:color="auto"/>
        <w:bottom w:val="none" w:sz="0" w:space="0" w:color="auto"/>
        <w:right w:val="none" w:sz="0" w:space="0" w:color="auto"/>
      </w:divBdr>
      <w:divsChild>
        <w:div w:id="909576798">
          <w:marLeft w:val="0"/>
          <w:marRight w:val="0"/>
          <w:marTop w:val="0"/>
          <w:marBottom w:val="0"/>
          <w:divBdr>
            <w:top w:val="none" w:sz="0" w:space="0" w:color="auto"/>
            <w:left w:val="none" w:sz="0" w:space="0" w:color="auto"/>
            <w:bottom w:val="none" w:sz="0" w:space="0" w:color="auto"/>
            <w:right w:val="none" w:sz="0" w:space="0" w:color="auto"/>
          </w:divBdr>
        </w:div>
        <w:div w:id="1848594862">
          <w:marLeft w:val="0"/>
          <w:marRight w:val="0"/>
          <w:marTop w:val="0"/>
          <w:marBottom w:val="0"/>
          <w:divBdr>
            <w:top w:val="none" w:sz="0" w:space="0" w:color="auto"/>
            <w:left w:val="none" w:sz="0" w:space="0" w:color="auto"/>
            <w:bottom w:val="none" w:sz="0" w:space="0" w:color="auto"/>
            <w:right w:val="none" w:sz="0" w:space="0" w:color="auto"/>
          </w:divBdr>
        </w:div>
        <w:div w:id="1558206787">
          <w:marLeft w:val="0"/>
          <w:marRight w:val="0"/>
          <w:marTop w:val="0"/>
          <w:marBottom w:val="0"/>
          <w:divBdr>
            <w:top w:val="none" w:sz="0" w:space="0" w:color="auto"/>
            <w:left w:val="none" w:sz="0" w:space="0" w:color="auto"/>
            <w:bottom w:val="none" w:sz="0" w:space="0" w:color="auto"/>
            <w:right w:val="none" w:sz="0" w:space="0" w:color="auto"/>
          </w:divBdr>
        </w:div>
        <w:div w:id="1385979802">
          <w:marLeft w:val="0"/>
          <w:marRight w:val="0"/>
          <w:marTop w:val="0"/>
          <w:marBottom w:val="0"/>
          <w:divBdr>
            <w:top w:val="none" w:sz="0" w:space="0" w:color="auto"/>
            <w:left w:val="none" w:sz="0" w:space="0" w:color="auto"/>
            <w:bottom w:val="none" w:sz="0" w:space="0" w:color="auto"/>
            <w:right w:val="none" w:sz="0" w:space="0" w:color="auto"/>
          </w:divBdr>
        </w:div>
      </w:divsChild>
    </w:div>
    <w:div w:id="694963288">
      <w:bodyDiv w:val="1"/>
      <w:marLeft w:val="0"/>
      <w:marRight w:val="0"/>
      <w:marTop w:val="0"/>
      <w:marBottom w:val="0"/>
      <w:divBdr>
        <w:top w:val="none" w:sz="0" w:space="0" w:color="auto"/>
        <w:left w:val="none" w:sz="0" w:space="0" w:color="auto"/>
        <w:bottom w:val="none" w:sz="0" w:space="0" w:color="auto"/>
        <w:right w:val="none" w:sz="0" w:space="0" w:color="auto"/>
      </w:divBdr>
      <w:divsChild>
        <w:div w:id="1236040942">
          <w:marLeft w:val="0"/>
          <w:marRight w:val="0"/>
          <w:marTop w:val="0"/>
          <w:marBottom w:val="0"/>
          <w:divBdr>
            <w:top w:val="none" w:sz="0" w:space="0" w:color="auto"/>
            <w:left w:val="none" w:sz="0" w:space="0" w:color="auto"/>
            <w:bottom w:val="none" w:sz="0" w:space="0" w:color="auto"/>
            <w:right w:val="none" w:sz="0" w:space="0" w:color="auto"/>
          </w:divBdr>
        </w:div>
        <w:div w:id="1480147191">
          <w:marLeft w:val="0"/>
          <w:marRight w:val="0"/>
          <w:marTop w:val="0"/>
          <w:marBottom w:val="0"/>
          <w:divBdr>
            <w:top w:val="none" w:sz="0" w:space="0" w:color="auto"/>
            <w:left w:val="none" w:sz="0" w:space="0" w:color="auto"/>
            <w:bottom w:val="none" w:sz="0" w:space="0" w:color="auto"/>
            <w:right w:val="none" w:sz="0" w:space="0" w:color="auto"/>
          </w:divBdr>
        </w:div>
        <w:div w:id="2063937902">
          <w:marLeft w:val="0"/>
          <w:marRight w:val="0"/>
          <w:marTop w:val="0"/>
          <w:marBottom w:val="0"/>
          <w:divBdr>
            <w:top w:val="none" w:sz="0" w:space="0" w:color="auto"/>
            <w:left w:val="none" w:sz="0" w:space="0" w:color="auto"/>
            <w:bottom w:val="none" w:sz="0" w:space="0" w:color="auto"/>
            <w:right w:val="none" w:sz="0" w:space="0" w:color="auto"/>
          </w:divBdr>
        </w:div>
        <w:div w:id="1843617002">
          <w:marLeft w:val="0"/>
          <w:marRight w:val="0"/>
          <w:marTop w:val="0"/>
          <w:marBottom w:val="0"/>
          <w:divBdr>
            <w:top w:val="none" w:sz="0" w:space="0" w:color="auto"/>
            <w:left w:val="none" w:sz="0" w:space="0" w:color="auto"/>
            <w:bottom w:val="none" w:sz="0" w:space="0" w:color="auto"/>
            <w:right w:val="none" w:sz="0" w:space="0" w:color="auto"/>
          </w:divBdr>
        </w:div>
      </w:divsChild>
    </w:div>
    <w:div w:id="713697281">
      <w:bodyDiv w:val="1"/>
      <w:marLeft w:val="0"/>
      <w:marRight w:val="0"/>
      <w:marTop w:val="0"/>
      <w:marBottom w:val="0"/>
      <w:divBdr>
        <w:top w:val="none" w:sz="0" w:space="0" w:color="auto"/>
        <w:left w:val="none" w:sz="0" w:space="0" w:color="auto"/>
        <w:bottom w:val="none" w:sz="0" w:space="0" w:color="auto"/>
        <w:right w:val="none" w:sz="0" w:space="0" w:color="auto"/>
      </w:divBdr>
      <w:divsChild>
        <w:div w:id="1592616672">
          <w:marLeft w:val="0"/>
          <w:marRight w:val="0"/>
          <w:marTop w:val="0"/>
          <w:marBottom w:val="0"/>
          <w:divBdr>
            <w:top w:val="none" w:sz="0" w:space="0" w:color="auto"/>
            <w:left w:val="none" w:sz="0" w:space="0" w:color="auto"/>
            <w:bottom w:val="none" w:sz="0" w:space="0" w:color="auto"/>
            <w:right w:val="none" w:sz="0" w:space="0" w:color="auto"/>
          </w:divBdr>
        </w:div>
        <w:div w:id="59641221">
          <w:marLeft w:val="0"/>
          <w:marRight w:val="0"/>
          <w:marTop w:val="0"/>
          <w:marBottom w:val="0"/>
          <w:divBdr>
            <w:top w:val="none" w:sz="0" w:space="0" w:color="auto"/>
            <w:left w:val="none" w:sz="0" w:space="0" w:color="auto"/>
            <w:bottom w:val="none" w:sz="0" w:space="0" w:color="auto"/>
            <w:right w:val="none" w:sz="0" w:space="0" w:color="auto"/>
          </w:divBdr>
        </w:div>
        <w:div w:id="1190408935">
          <w:marLeft w:val="0"/>
          <w:marRight w:val="0"/>
          <w:marTop w:val="0"/>
          <w:marBottom w:val="0"/>
          <w:divBdr>
            <w:top w:val="none" w:sz="0" w:space="0" w:color="auto"/>
            <w:left w:val="none" w:sz="0" w:space="0" w:color="auto"/>
            <w:bottom w:val="none" w:sz="0" w:space="0" w:color="auto"/>
            <w:right w:val="none" w:sz="0" w:space="0" w:color="auto"/>
          </w:divBdr>
        </w:div>
        <w:div w:id="1639723556">
          <w:marLeft w:val="0"/>
          <w:marRight w:val="0"/>
          <w:marTop w:val="0"/>
          <w:marBottom w:val="0"/>
          <w:divBdr>
            <w:top w:val="none" w:sz="0" w:space="0" w:color="auto"/>
            <w:left w:val="none" w:sz="0" w:space="0" w:color="auto"/>
            <w:bottom w:val="none" w:sz="0" w:space="0" w:color="auto"/>
            <w:right w:val="none" w:sz="0" w:space="0" w:color="auto"/>
          </w:divBdr>
        </w:div>
      </w:divsChild>
    </w:div>
    <w:div w:id="718014539">
      <w:marLeft w:val="0"/>
      <w:marRight w:val="0"/>
      <w:marTop w:val="0"/>
      <w:marBottom w:val="0"/>
      <w:divBdr>
        <w:top w:val="none" w:sz="0" w:space="0" w:color="auto"/>
        <w:left w:val="none" w:sz="0" w:space="0" w:color="auto"/>
        <w:bottom w:val="none" w:sz="0" w:space="0" w:color="auto"/>
        <w:right w:val="none" w:sz="0" w:space="0" w:color="auto"/>
      </w:divBdr>
      <w:divsChild>
        <w:div w:id="452604265">
          <w:marLeft w:val="0"/>
          <w:marRight w:val="0"/>
          <w:marTop w:val="0"/>
          <w:marBottom w:val="0"/>
          <w:divBdr>
            <w:top w:val="none" w:sz="0" w:space="0" w:color="auto"/>
            <w:left w:val="none" w:sz="0" w:space="0" w:color="auto"/>
            <w:bottom w:val="none" w:sz="0" w:space="0" w:color="auto"/>
            <w:right w:val="none" w:sz="0" w:space="0" w:color="auto"/>
          </w:divBdr>
        </w:div>
        <w:div w:id="1738742928">
          <w:marLeft w:val="0"/>
          <w:marRight w:val="0"/>
          <w:marTop w:val="0"/>
          <w:marBottom w:val="0"/>
          <w:divBdr>
            <w:top w:val="none" w:sz="0" w:space="0" w:color="auto"/>
            <w:left w:val="none" w:sz="0" w:space="0" w:color="auto"/>
            <w:bottom w:val="none" w:sz="0" w:space="0" w:color="auto"/>
            <w:right w:val="none" w:sz="0" w:space="0" w:color="auto"/>
          </w:divBdr>
        </w:div>
        <w:div w:id="1280261973">
          <w:marLeft w:val="0"/>
          <w:marRight w:val="0"/>
          <w:marTop w:val="0"/>
          <w:marBottom w:val="0"/>
          <w:divBdr>
            <w:top w:val="none" w:sz="0" w:space="0" w:color="auto"/>
            <w:left w:val="none" w:sz="0" w:space="0" w:color="auto"/>
            <w:bottom w:val="none" w:sz="0" w:space="0" w:color="auto"/>
            <w:right w:val="none" w:sz="0" w:space="0" w:color="auto"/>
          </w:divBdr>
        </w:div>
      </w:divsChild>
    </w:div>
    <w:div w:id="763570523">
      <w:marLeft w:val="0"/>
      <w:marRight w:val="0"/>
      <w:marTop w:val="0"/>
      <w:marBottom w:val="0"/>
      <w:divBdr>
        <w:top w:val="none" w:sz="0" w:space="0" w:color="auto"/>
        <w:left w:val="none" w:sz="0" w:space="0" w:color="auto"/>
        <w:bottom w:val="none" w:sz="0" w:space="0" w:color="auto"/>
        <w:right w:val="none" w:sz="0" w:space="0" w:color="auto"/>
      </w:divBdr>
      <w:divsChild>
        <w:div w:id="386684151">
          <w:marLeft w:val="0"/>
          <w:marRight w:val="0"/>
          <w:marTop w:val="0"/>
          <w:marBottom w:val="0"/>
          <w:divBdr>
            <w:top w:val="none" w:sz="0" w:space="0" w:color="auto"/>
            <w:left w:val="none" w:sz="0" w:space="0" w:color="auto"/>
            <w:bottom w:val="none" w:sz="0" w:space="0" w:color="auto"/>
            <w:right w:val="none" w:sz="0" w:space="0" w:color="auto"/>
          </w:divBdr>
        </w:div>
        <w:div w:id="97408995">
          <w:marLeft w:val="0"/>
          <w:marRight w:val="0"/>
          <w:marTop w:val="0"/>
          <w:marBottom w:val="0"/>
          <w:divBdr>
            <w:top w:val="none" w:sz="0" w:space="0" w:color="auto"/>
            <w:left w:val="none" w:sz="0" w:space="0" w:color="auto"/>
            <w:bottom w:val="none" w:sz="0" w:space="0" w:color="auto"/>
            <w:right w:val="none" w:sz="0" w:space="0" w:color="auto"/>
          </w:divBdr>
        </w:div>
        <w:div w:id="180825112">
          <w:marLeft w:val="0"/>
          <w:marRight w:val="0"/>
          <w:marTop w:val="0"/>
          <w:marBottom w:val="0"/>
          <w:divBdr>
            <w:top w:val="none" w:sz="0" w:space="0" w:color="auto"/>
            <w:left w:val="none" w:sz="0" w:space="0" w:color="auto"/>
            <w:bottom w:val="none" w:sz="0" w:space="0" w:color="auto"/>
            <w:right w:val="none" w:sz="0" w:space="0" w:color="auto"/>
          </w:divBdr>
        </w:div>
      </w:divsChild>
    </w:div>
    <w:div w:id="810287270">
      <w:marLeft w:val="0"/>
      <w:marRight w:val="0"/>
      <w:marTop w:val="0"/>
      <w:marBottom w:val="0"/>
      <w:divBdr>
        <w:top w:val="none" w:sz="0" w:space="0" w:color="auto"/>
        <w:left w:val="none" w:sz="0" w:space="0" w:color="auto"/>
        <w:bottom w:val="none" w:sz="0" w:space="0" w:color="auto"/>
        <w:right w:val="none" w:sz="0" w:space="0" w:color="auto"/>
      </w:divBdr>
      <w:divsChild>
        <w:div w:id="1110316871">
          <w:marLeft w:val="0"/>
          <w:marRight w:val="0"/>
          <w:marTop w:val="0"/>
          <w:marBottom w:val="0"/>
          <w:divBdr>
            <w:top w:val="none" w:sz="0" w:space="0" w:color="auto"/>
            <w:left w:val="none" w:sz="0" w:space="0" w:color="auto"/>
            <w:bottom w:val="none" w:sz="0" w:space="0" w:color="auto"/>
            <w:right w:val="none" w:sz="0" w:space="0" w:color="auto"/>
          </w:divBdr>
        </w:div>
        <w:div w:id="1480225086">
          <w:marLeft w:val="0"/>
          <w:marRight w:val="0"/>
          <w:marTop w:val="0"/>
          <w:marBottom w:val="0"/>
          <w:divBdr>
            <w:top w:val="none" w:sz="0" w:space="0" w:color="auto"/>
            <w:left w:val="none" w:sz="0" w:space="0" w:color="auto"/>
            <w:bottom w:val="none" w:sz="0" w:space="0" w:color="auto"/>
            <w:right w:val="none" w:sz="0" w:space="0" w:color="auto"/>
          </w:divBdr>
        </w:div>
        <w:div w:id="371615469">
          <w:marLeft w:val="0"/>
          <w:marRight w:val="0"/>
          <w:marTop w:val="0"/>
          <w:marBottom w:val="0"/>
          <w:divBdr>
            <w:top w:val="none" w:sz="0" w:space="0" w:color="auto"/>
            <w:left w:val="none" w:sz="0" w:space="0" w:color="auto"/>
            <w:bottom w:val="none" w:sz="0" w:space="0" w:color="auto"/>
            <w:right w:val="none" w:sz="0" w:space="0" w:color="auto"/>
          </w:divBdr>
        </w:div>
      </w:divsChild>
    </w:div>
    <w:div w:id="823665218">
      <w:marLeft w:val="0"/>
      <w:marRight w:val="0"/>
      <w:marTop w:val="0"/>
      <w:marBottom w:val="0"/>
      <w:divBdr>
        <w:top w:val="none" w:sz="0" w:space="0" w:color="auto"/>
        <w:left w:val="none" w:sz="0" w:space="0" w:color="auto"/>
        <w:bottom w:val="none" w:sz="0" w:space="0" w:color="auto"/>
        <w:right w:val="none" w:sz="0" w:space="0" w:color="auto"/>
      </w:divBdr>
      <w:divsChild>
        <w:div w:id="1142770279">
          <w:marLeft w:val="0"/>
          <w:marRight w:val="0"/>
          <w:marTop w:val="0"/>
          <w:marBottom w:val="0"/>
          <w:divBdr>
            <w:top w:val="none" w:sz="0" w:space="0" w:color="auto"/>
            <w:left w:val="none" w:sz="0" w:space="0" w:color="auto"/>
            <w:bottom w:val="none" w:sz="0" w:space="0" w:color="auto"/>
            <w:right w:val="none" w:sz="0" w:space="0" w:color="auto"/>
          </w:divBdr>
        </w:div>
        <w:div w:id="997614252">
          <w:marLeft w:val="0"/>
          <w:marRight w:val="0"/>
          <w:marTop w:val="0"/>
          <w:marBottom w:val="0"/>
          <w:divBdr>
            <w:top w:val="none" w:sz="0" w:space="0" w:color="auto"/>
            <w:left w:val="none" w:sz="0" w:space="0" w:color="auto"/>
            <w:bottom w:val="none" w:sz="0" w:space="0" w:color="auto"/>
            <w:right w:val="none" w:sz="0" w:space="0" w:color="auto"/>
          </w:divBdr>
        </w:div>
        <w:div w:id="1496729696">
          <w:marLeft w:val="0"/>
          <w:marRight w:val="0"/>
          <w:marTop w:val="0"/>
          <w:marBottom w:val="0"/>
          <w:divBdr>
            <w:top w:val="none" w:sz="0" w:space="0" w:color="auto"/>
            <w:left w:val="none" w:sz="0" w:space="0" w:color="auto"/>
            <w:bottom w:val="none" w:sz="0" w:space="0" w:color="auto"/>
            <w:right w:val="none" w:sz="0" w:space="0" w:color="auto"/>
          </w:divBdr>
        </w:div>
      </w:divsChild>
    </w:div>
    <w:div w:id="841163382">
      <w:bodyDiv w:val="1"/>
      <w:marLeft w:val="0"/>
      <w:marRight w:val="0"/>
      <w:marTop w:val="0"/>
      <w:marBottom w:val="0"/>
      <w:divBdr>
        <w:top w:val="none" w:sz="0" w:space="0" w:color="auto"/>
        <w:left w:val="none" w:sz="0" w:space="0" w:color="auto"/>
        <w:bottom w:val="none" w:sz="0" w:space="0" w:color="auto"/>
        <w:right w:val="none" w:sz="0" w:space="0" w:color="auto"/>
      </w:divBdr>
      <w:divsChild>
        <w:div w:id="169492570">
          <w:marLeft w:val="0"/>
          <w:marRight w:val="0"/>
          <w:marTop w:val="0"/>
          <w:marBottom w:val="0"/>
          <w:divBdr>
            <w:top w:val="none" w:sz="0" w:space="0" w:color="auto"/>
            <w:left w:val="none" w:sz="0" w:space="0" w:color="auto"/>
            <w:bottom w:val="none" w:sz="0" w:space="0" w:color="auto"/>
            <w:right w:val="none" w:sz="0" w:space="0" w:color="auto"/>
          </w:divBdr>
        </w:div>
        <w:div w:id="490607907">
          <w:marLeft w:val="0"/>
          <w:marRight w:val="0"/>
          <w:marTop w:val="0"/>
          <w:marBottom w:val="0"/>
          <w:divBdr>
            <w:top w:val="none" w:sz="0" w:space="0" w:color="auto"/>
            <w:left w:val="none" w:sz="0" w:space="0" w:color="auto"/>
            <w:bottom w:val="none" w:sz="0" w:space="0" w:color="auto"/>
            <w:right w:val="none" w:sz="0" w:space="0" w:color="auto"/>
          </w:divBdr>
        </w:div>
        <w:div w:id="29184368">
          <w:marLeft w:val="0"/>
          <w:marRight w:val="0"/>
          <w:marTop w:val="0"/>
          <w:marBottom w:val="0"/>
          <w:divBdr>
            <w:top w:val="none" w:sz="0" w:space="0" w:color="auto"/>
            <w:left w:val="none" w:sz="0" w:space="0" w:color="auto"/>
            <w:bottom w:val="none" w:sz="0" w:space="0" w:color="auto"/>
            <w:right w:val="none" w:sz="0" w:space="0" w:color="auto"/>
          </w:divBdr>
        </w:div>
        <w:div w:id="179591599">
          <w:marLeft w:val="0"/>
          <w:marRight w:val="0"/>
          <w:marTop w:val="0"/>
          <w:marBottom w:val="0"/>
          <w:divBdr>
            <w:top w:val="none" w:sz="0" w:space="0" w:color="auto"/>
            <w:left w:val="none" w:sz="0" w:space="0" w:color="auto"/>
            <w:bottom w:val="none" w:sz="0" w:space="0" w:color="auto"/>
            <w:right w:val="none" w:sz="0" w:space="0" w:color="auto"/>
          </w:divBdr>
        </w:div>
      </w:divsChild>
    </w:div>
    <w:div w:id="842091945">
      <w:bodyDiv w:val="1"/>
      <w:marLeft w:val="0"/>
      <w:marRight w:val="0"/>
      <w:marTop w:val="0"/>
      <w:marBottom w:val="0"/>
      <w:divBdr>
        <w:top w:val="none" w:sz="0" w:space="0" w:color="auto"/>
        <w:left w:val="none" w:sz="0" w:space="0" w:color="auto"/>
        <w:bottom w:val="none" w:sz="0" w:space="0" w:color="auto"/>
        <w:right w:val="none" w:sz="0" w:space="0" w:color="auto"/>
      </w:divBdr>
      <w:divsChild>
        <w:div w:id="1153911936">
          <w:marLeft w:val="0"/>
          <w:marRight w:val="0"/>
          <w:marTop w:val="0"/>
          <w:marBottom w:val="0"/>
          <w:divBdr>
            <w:top w:val="none" w:sz="0" w:space="0" w:color="auto"/>
            <w:left w:val="none" w:sz="0" w:space="0" w:color="auto"/>
            <w:bottom w:val="none" w:sz="0" w:space="0" w:color="auto"/>
            <w:right w:val="none" w:sz="0" w:space="0" w:color="auto"/>
          </w:divBdr>
        </w:div>
        <w:div w:id="858397175">
          <w:marLeft w:val="0"/>
          <w:marRight w:val="0"/>
          <w:marTop w:val="0"/>
          <w:marBottom w:val="0"/>
          <w:divBdr>
            <w:top w:val="none" w:sz="0" w:space="0" w:color="auto"/>
            <w:left w:val="none" w:sz="0" w:space="0" w:color="auto"/>
            <w:bottom w:val="none" w:sz="0" w:space="0" w:color="auto"/>
            <w:right w:val="none" w:sz="0" w:space="0" w:color="auto"/>
          </w:divBdr>
        </w:div>
        <w:div w:id="1427725201">
          <w:marLeft w:val="0"/>
          <w:marRight w:val="0"/>
          <w:marTop w:val="0"/>
          <w:marBottom w:val="0"/>
          <w:divBdr>
            <w:top w:val="none" w:sz="0" w:space="0" w:color="auto"/>
            <w:left w:val="none" w:sz="0" w:space="0" w:color="auto"/>
            <w:bottom w:val="none" w:sz="0" w:space="0" w:color="auto"/>
            <w:right w:val="none" w:sz="0" w:space="0" w:color="auto"/>
          </w:divBdr>
        </w:div>
        <w:div w:id="2106994879">
          <w:marLeft w:val="0"/>
          <w:marRight w:val="0"/>
          <w:marTop w:val="0"/>
          <w:marBottom w:val="0"/>
          <w:divBdr>
            <w:top w:val="none" w:sz="0" w:space="0" w:color="auto"/>
            <w:left w:val="none" w:sz="0" w:space="0" w:color="auto"/>
            <w:bottom w:val="none" w:sz="0" w:space="0" w:color="auto"/>
            <w:right w:val="none" w:sz="0" w:space="0" w:color="auto"/>
          </w:divBdr>
        </w:div>
      </w:divsChild>
    </w:div>
    <w:div w:id="892157669">
      <w:bodyDiv w:val="1"/>
      <w:marLeft w:val="0"/>
      <w:marRight w:val="0"/>
      <w:marTop w:val="0"/>
      <w:marBottom w:val="0"/>
      <w:divBdr>
        <w:top w:val="none" w:sz="0" w:space="0" w:color="auto"/>
        <w:left w:val="none" w:sz="0" w:space="0" w:color="auto"/>
        <w:bottom w:val="none" w:sz="0" w:space="0" w:color="auto"/>
        <w:right w:val="none" w:sz="0" w:space="0" w:color="auto"/>
      </w:divBdr>
      <w:divsChild>
        <w:div w:id="1393310526">
          <w:marLeft w:val="0"/>
          <w:marRight w:val="0"/>
          <w:marTop w:val="0"/>
          <w:marBottom w:val="0"/>
          <w:divBdr>
            <w:top w:val="none" w:sz="0" w:space="0" w:color="auto"/>
            <w:left w:val="none" w:sz="0" w:space="0" w:color="auto"/>
            <w:bottom w:val="none" w:sz="0" w:space="0" w:color="auto"/>
            <w:right w:val="none" w:sz="0" w:space="0" w:color="auto"/>
          </w:divBdr>
        </w:div>
        <w:div w:id="2102988151">
          <w:marLeft w:val="0"/>
          <w:marRight w:val="0"/>
          <w:marTop w:val="0"/>
          <w:marBottom w:val="0"/>
          <w:divBdr>
            <w:top w:val="none" w:sz="0" w:space="0" w:color="auto"/>
            <w:left w:val="none" w:sz="0" w:space="0" w:color="auto"/>
            <w:bottom w:val="none" w:sz="0" w:space="0" w:color="auto"/>
            <w:right w:val="none" w:sz="0" w:space="0" w:color="auto"/>
          </w:divBdr>
        </w:div>
        <w:div w:id="1575165755">
          <w:marLeft w:val="0"/>
          <w:marRight w:val="0"/>
          <w:marTop w:val="0"/>
          <w:marBottom w:val="0"/>
          <w:divBdr>
            <w:top w:val="none" w:sz="0" w:space="0" w:color="auto"/>
            <w:left w:val="none" w:sz="0" w:space="0" w:color="auto"/>
            <w:bottom w:val="none" w:sz="0" w:space="0" w:color="auto"/>
            <w:right w:val="none" w:sz="0" w:space="0" w:color="auto"/>
          </w:divBdr>
        </w:div>
        <w:div w:id="751852438">
          <w:marLeft w:val="0"/>
          <w:marRight w:val="0"/>
          <w:marTop w:val="0"/>
          <w:marBottom w:val="0"/>
          <w:divBdr>
            <w:top w:val="none" w:sz="0" w:space="0" w:color="auto"/>
            <w:left w:val="none" w:sz="0" w:space="0" w:color="auto"/>
            <w:bottom w:val="none" w:sz="0" w:space="0" w:color="auto"/>
            <w:right w:val="none" w:sz="0" w:space="0" w:color="auto"/>
          </w:divBdr>
        </w:div>
      </w:divsChild>
    </w:div>
    <w:div w:id="950628864">
      <w:marLeft w:val="0"/>
      <w:marRight w:val="0"/>
      <w:marTop w:val="0"/>
      <w:marBottom w:val="0"/>
      <w:divBdr>
        <w:top w:val="none" w:sz="0" w:space="0" w:color="auto"/>
        <w:left w:val="none" w:sz="0" w:space="0" w:color="auto"/>
        <w:bottom w:val="none" w:sz="0" w:space="0" w:color="auto"/>
        <w:right w:val="none" w:sz="0" w:space="0" w:color="auto"/>
      </w:divBdr>
      <w:divsChild>
        <w:div w:id="265233601">
          <w:marLeft w:val="0"/>
          <w:marRight w:val="0"/>
          <w:marTop w:val="0"/>
          <w:marBottom w:val="0"/>
          <w:divBdr>
            <w:top w:val="none" w:sz="0" w:space="0" w:color="auto"/>
            <w:left w:val="none" w:sz="0" w:space="0" w:color="auto"/>
            <w:bottom w:val="none" w:sz="0" w:space="0" w:color="auto"/>
            <w:right w:val="none" w:sz="0" w:space="0" w:color="auto"/>
          </w:divBdr>
        </w:div>
        <w:div w:id="728919014">
          <w:marLeft w:val="0"/>
          <w:marRight w:val="0"/>
          <w:marTop w:val="0"/>
          <w:marBottom w:val="0"/>
          <w:divBdr>
            <w:top w:val="none" w:sz="0" w:space="0" w:color="auto"/>
            <w:left w:val="none" w:sz="0" w:space="0" w:color="auto"/>
            <w:bottom w:val="none" w:sz="0" w:space="0" w:color="auto"/>
            <w:right w:val="none" w:sz="0" w:space="0" w:color="auto"/>
          </w:divBdr>
        </w:div>
        <w:div w:id="2111000850">
          <w:marLeft w:val="0"/>
          <w:marRight w:val="0"/>
          <w:marTop w:val="0"/>
          <w:marBottom w:val="0"/>
          <w:divBdr>
            <w:top w:val="none" w:sz="0" w:space="0" w:color="auto"/>
            <w:left w:val="none" w:sz="0" w:space="0" w:color="auto"/>
            <w:bottom w:val="none" w:sz="0" w:space="0" w:color="auto"/>
            <w:right w:val="none" w:sz="0" w:space="0" w:color="auto"/>
          </w:divBdr>
        </w:div>
      </w:divsChild>
    </w:div>
    <w:div w:id="958489121">
      <w:bodyDiv w:val="1"/>
      <w:marLeft w:val="0"/>
      <w:marRight w:val="0"/>
      <w:marTop w:val="0"/>
      <w:marBottom w:val="0"/>
      <w:divBdr>
        <w:top w:val="none" w:sz="0" w:space="0" w:color="auto"/>
        <w:left w:val="none" w:sz="0" w:space="0" w:color="auto"/>
        <w:bottom w:val="none" w:sz="0" w:space="0" w:color="auto"/>
        <w:right w:val="none" w:sz="0" w:space="0" w:color="auto"/>
      </w:divBdr>
      <w:divsChild>
        <w:div w:id="440103679">
          <w:marLeft w:val="0"/>
          <w:marRight w:val="0"/>
          <w:marTop w:val="0"/>
          <w:marBottom w:val="0"/>
          <w:divBdr>
            <w:top w:val="none" w:sz="0" w:space="0" w:color="auto"/>
            <w:left w:val="none" w:sz="0" w:space="0" w:color="auto"/>
            <w:bottom w:val="none" w:sz="0" w:space="0" w:color="auto"/>
            <w:right w:val="none" w:sz="0" w:space="0" w:color="auto"/>
          </w:divBdr>
        </w:div>
        <w:div w:id="703291799">
          <w:marLeft w:val="0"/>
          <w:marRight w:val="0"/>
          <w:marTop w:val="0"/>
          <w:marBottom w:val="0"/>
          <w:divBdr>
            <w:top w:val="none" w:sz="0" w:space="0" w:color="auto"/>
            <w:left w:val="none" w:sz="0" w:space="0" w:color="auto"/>
            <w:bottom w:val="none" w:sz="0" w:space="0" w:color="auto"/>
            <w:right w:val="none" w:sz="0" w:space="0" w:color="auto"/>
          </w:divBdr>
        </w:div>
        <w:div w:id="5794203">
          <w:marLeft w:val="0"/>
          <w:marRight w:val="0"/>
          <w:marTop w:val="0"/>
          <w:marBottom w:val="0"/>
          <w:divBdr>
            <w:top w:val="none" w:sz="0" w:space="0" w:color="auto"/>
            <w:left w:val="none" w:sz="0" w:space="0" w:color="auto"/>
            <w:bottom w:val="none" w:sz="0" w:space="0" w:color="auto"/>
            <w:right w:val="none" w:sz="0" w:space="0" w:color="auto"/>
          </w:divBdr>
        </w:div>
        <w:div w:id="1805850453">
          <w:marLeft w:val="0"/>
          <w:marRight w:val="0"/>
          <w:marTop w:val="0"/>
          <w:marBottom w:val="0"/>
          <w:divBdr>
            <w:top w:val="none" w:sz="0" w:space="0" w:color="auto"/>
            <w:left w:val="none" w:sz="0" w:space="0" w:color="auto"/>
            <w:bottom w:val="none" w:sz="0" w:space="0" w:color="auto"/>
            <w:right w:val="none" w:sz="0" w:space="0" w:color="auto"/>
          </w:divBdr>
        </w:div>
      </w:divsChild>
    </w:div>
    <w:div w:id="977032344">
      <w:marLeft w:val="0"/>
      <w:marRight w:val="0"/>
      <w:marTop w:val="0"/>
      <w:marBottom w:val="0"/>
      <w:divBdr>
        <w:top w:val="none" w:sz="0" w:space="0" w:color="auto"/>
        <w:left w:val="none" w:sz="0" w:space="0" w:color="auto"/>
        <w:bottom w:val="none" w:sz="0" w:space="0" w:color="auto"/>
        <w:right w:val="none" w:sz="0" w:space="0" w:color="auto"/>
      </w:divBdr>
      <w:divsChild>
        <w:div w:id="845244274">
          <w:marLeft w:val="0"/>
          <w:marRight w:val="0"/>
          <w:marTop w:val="0"/>
          <w:marBottom w:val="0"/>
          <w:divBdr>
            <w:top w:val="none" w:sz="0" w:space="0" w:color="auto"/>
            <w:left w:val="none" w:sz="0" w:space="0" w:color="auto"/>
            <w:bottom w:val="none" w:sz="0" w:space="0" w:color="auto"/>
            <w:right w:val="none" w:sz="0" w:space="0" w:color="auto"/>
          </w:divBdr>
        </w:div>
        <w:div w:id="445278124">
          <w:marLeft w:val="0"/>
          <w:marRight w:val="0"/>
          <w:marTop w:val="0"/>
          <w:marBottom w:val="0"/>
          <w:divBdr>
            <w:top w:val="none" w:sz="0" w:space="0" w:color="auto"/>
            <w:left w:val="none" w:sz="0" w:space="0" w:color="auto"/>
            <w:bottom w:val="none" w:sz="0" w:space="0" w:color="auto"/>
            <w:right w:val="none" w:sz="0" w:space="0" w:color="auto"/>
          </w:divBdr>
        </w:div>
        <w:div w:id="1933394156">
          <w:marLeft w:val="0"/>
          <w:marRight w:val="0"/>
          <w:marTop w:val="0"/>
          <w:marBottom w:val="0"/>
          <w:divBdr>
            <w:top w:val="none" w:sz="0" w:space="0" w:color="auto"/>
            <w:left w:val="none" w:sz="0" w:space="0" w:color="auto"/>
            <w:bottom w:val="none" w:sz="0" w:space="0" w:color="auto"/>
            <w:right w:val="none" w:sz="0" w:space="0" w:color="auto"/>
          </w:divBdr>
        </w:div>
      </w:divsChild>
    </w:div>
    <w:div w:id="1012872648">
      <w:marLeft w:val="0"/>
      <w:marRight w:val="0"/>
      <w:marTop w:val="0"/>
      <w:marBottom w:val="0"/>
      <w:divBdr>
        <w:top w:val="none" w:sz="0" w:space="0" w:color="auto"/>
        <w:left w:val="none" w:sz="0" w:space="0" w:color="auto"/>
        <w:bottom w:val="none" w:sz="0" w:space="0" w:color="auto"/>
        <w:right w:val="none" w:sz="0" w:space="0" w:color="auto"/>
      </w:divBdr>
      <w:divsChild>
        <w:div w:id="1395468825">
          <w:marLeft w:val="0"/>
          <w:marRight w:val="0"/>
          <w:marTop w:val="0"/>
          <w:marBottom w:val="0"/>
          <w:divBdr>
            <w:top w:val="none" w:sz="0" w:space="0" w:color="auto"/>
            <w:left w:val="none" w:sz="0" w:space="0" w:color="auto"/>
            <w:bottom w:val="none" w:sz="0" w:space="0" w:color="auto"/>
            <w:right w:val="none" w:sz="0" w:space="0" w:color="auto"/>
          </w:divBdr>
        </w:div>
        <w:div w:id="781800217">
          <w:marLeft w:val="0"/>
          <w:marRight w:val="0"/>
          <w:marTop w:val="0"/>
          <w:marBottom w:val="0"/>
          <w:divBdr>
            <w:top w:val="none" w:sz="0" w:space="0" w:color="auto"/>
            <w:left w:val="none" w:sz="0" w:space="0" w:color="auto"/>
            <w:bottom w:val="none" w:sz="0" w:space="0" w:color="auto"/>
            <w:right w:val="none" w:sz="0" w:space="0" w:color="auto"/>
          </w:divBdr>
        </w:div>
        <w:div w:id="1944141760">
          <w:marLeft w:val="0"/>
          <w:marRight w:val="0"/>
          <w:marTop w:val="0"/>
          <w:marBottom w:val="0"/>
          <w:divBdr>
            <w:top w:val="none" w:sz="0" w:space="0" w:color="auto"/>
            <w:left w:val="none" w:sz="0" w:space="0" w:color="auto"/>
            <w:bottom w:val="none" w:sz="0" w:space="0" w:color="auto"/>
            <w:right w:val="none" w:sz="0" w:space="0" w:color="auto"/>
          </w:divBdr>
        </w:div>
      </w:divsChild>
    </w:div>
    <w:div w:id="1029188276">
      <w:bodyDiv w:val="1"/>
      <w:marLeft w:val="0"/>
      <w:marRight w:val="0"/>
      <w:marTop w:val="0"/>
      <w:marBottom w:val="0"/>
      <w:divBdr>
        <w:top w:val="none" w:sz="0" w:space="0" w:color="auto"/>
        <w:left w:val="none" w:sz="0" w:space="0" w:color="auto"/>
        <w:bottom w:val="none" w:sz="0" w:space="0" w:color="auto"/>
        <w:right w:val="none" w:sz="0" w:space="0" w:color="auto"/>
      </w:divBdr>
      <w:divsChild>
        <w:div w:id="1500346130">
          <w:marLeft w:val="0"/>
          <w:marRight w:val="0"/>
          <w:marTop w:val="0"/>
          <w:marBottom w:val="0"/>
          <w:divBdr>
            <w:top w:val="none" w:sz="0" w:space="0" w:color="auto"/>
            <w:left w:val="none" w:sz="0" w:space="0" w:color="auto"/>
            <w:bottom w:val="none" w:sz="0" w:space="0" w:color="auto"/>
            <w:right w:val="none" w:sz="0" w:space="0" w:color="auto"/>
          </w:divBdr>
        </w:div>
        <w:div w:id="647127881">
          <w:marLeft w:val="0"/>
          <w:marRight w:val="0"/>
          <w:marTop w:val="0"/>
          <w:marBottom w:val="0"/>
          <w:divBdr>
            <w:top w:val="none" w:sz="0" w:space="0" w:color="auto"/>
            <w:left w:val="none" w:sz="0" w:space="0" w:color="auto"/>
            <w:bottom w:val="none" w:sz="0" w:space="0" w:color="auto"/>
            <w:right w:val="none" w:sz="0" w:space="0" w:color="auto"/>
          </w:divBdr>
        </w:div>
        <w:div w:id="443618316">
          <w:marLeft w:val="0"/>
          <w:marRight w:val="0"/>
          <w:marTop w:val="0"/>
          <w:marBottom w:val="0"/>
          <w:divBdr>
            <w:top w:val="none" w:sz="0" w:space="0" w:color="auto"/>
            <w:left w:val="none" w:sz="0" w:space="0" w:color="auto"/>
            <w:bottom w:val="none" w:sz="0" w:space="0" w:color="auto"/>
            <w:right w:val="none" w:sz="0" w:space="0" w:color="auto"/>
          </w:divBdr>
        </w:div>
        <w:div w:id="1244073923">
          <w:marLeft w:val="0"/>
          <w:marRight w:val="0"/>
          <w:marTop w:val="0"/>
          <w:marBottom w:val="0"/>
          <w:divBdr>
            <w:top w:val="none" w:sz="0" w:space="0" w:color="auto"/>
            <w:left w:val="none" w:sz="0" w:space="0" w:color="auto"/>
            <w:bottom w:val="none" w:sz="0" w:space="0" w:color="auto"/>
            <w:right w:val="none" w:sz="0" w:space="0" w:color="auto"/>
          </w:divBdr>
        </w:div>
      </w:divsChild>
    </w:div>
    <w:div w:id="1034962831">
      <w:bodyDiv w:val="1"/>
      <w:marLeft w:val="0"/>
      <w:marRight w:val="0"/>
      <w:marTop w:val="0"/>
      <w:marBottom w:val="0"/>
      <w:divBdr>
        <w:top w:val="none" w:sz="0" w:space="0" w:color="auto"/>
        <w:left w:val="none" w:sz="0" w:space="0" w:color="auto"/>
        <w:bottom w:val="none" w:sz="0" w:space="0" w:color="auto"/>
        <w:right w:val="none" w:sz="0" w:space="0" w:color="auto"/>
      </w:divBdr>
      <w:divsChild>
        <w:div w:id="368842028">
          <w:marLeft w:val="0"/>
          <w:marRight w:val="0"/>
          <w:marTop w:val="0"/>
          <w:marBottom w:val="0"/>
          <w:divBdr>
            <w:top w:val="none" w:sz="0" w:space="0" w:color="auto"/>
            <w:left w:val="none" w:sz="0" w:space="0" w:color="auto"/>
            <w:bottom w:val="none" w:sz="0" w:space="0" w:color="auto"/>
            <w:right w:val="none" w:sz="0" w:space="0" w:color="auto"/>
          </w:divBdr>
        </w:div>
        <w:div w:id="1566062899">
          <w:marLeft w:val="0"/>
          <w:marRight w:val="0"/>
          <w:marTop w:val="0"/>
          <w:marBottom w:val="0"/>
          <w:divBdr>
            <w:top w:val="none" w:sz="0" w:space="0" w:color="auto"/>
            <w:left w:val="none" w:sz="0" w:space="0" w:color="auto"/>
            <w:bottom w:val="none" w:sz="0" w:space="0" w:color="auto"/>
            <w:right w:val="none" w:sz="0" w:space="0" w:color="auto"/>
          </w:divBdr>
        </w:div>
        <w:div w:id="578103107">
          <w:marLeft w:val="0"/>
          <w:marRight w:val="0"/>
          <w:marTop w:val="0"/>
          <w:marBottom w:val="0"/>
          <w:divBdr>
            <w:top w:val="none" w:sz="0" w:space="0" w:color="auto"/>
            <w:left w:val="none" w:sz="0" w:space="0" w:color="auto"/>
            <w:bottom w:val="none" w:sz="0" w:space="0" w:color="auto"/>
            <w:right w:val="none" w:sz="0" w:space="0" w:color="auto"/>
          </w:divBdr>
        </w:div>
        <w:div w:id="305009230">
          <w:marLeft w:val="0"/>
          <w:marRight w:val="0"/>
          <w:marTop w:val="0"/>
          <w:marBottom w:val="0"/>
          <w:divBdr>
            <w:top w:val="none" w:sz="0" w:space="0" w:color="auto"/>
            <w:left w:val="none" w:sz="0" w:space="0" w:color="auto"/>
            <w:bottom w:val="none" w:sz="0" w:space="0" w:color="auto"/>
            <w:right w:val="none" w:sz="0" w:space="0" w:color="auto"/>
          </w:divBdr>
        </w:div>
      </w:divsChild>
    </w:div>
    <w:div w:id="1035155913">
      <w:bodyDiv w:val="1"/>
      <w:marLeft w:val="0"/>
      <w:marRight w:val="0"/>
      <w:marTop w:val="0"/>
      <w:marBottom w:val="0"/>
      <w:divBdr>
        <w:top w:val="none" w:sz="0" w:space="0" w:color="auto"/>
        <w:left w:val="none" w:sz="0" w:space="0" w:color="auto"/>
        <w:bottom w:val="none" w:sz="0" w:space="0" w:color="auto"/>
        <w:right w:val="none" w:sz="0" w:space="0" w:color="auto"/>
      </w:divBdr>
      <w:divsChild>
        <w:div w:id="2113237201">
          <w:marLeft w:val="0"/>
          <w:marRight w:val="0"/>
          <w:marTop w:val="0"/>
          <w:marBottom w:val="0"/>
          <w:divBdr>
            <w:top w:val="none" w:sz="0" w:space="0" w:color="auto"/>
            <w:left w:val="none" w:sz="0" w:space="0" w:color="auto"/>
            <w:bottom w:val="none" w:sz="0" w:space="0" w:color="auto"/>
            <w:right w:val="none" w:sz="0" w:space="0" w:color="auto"/>
          </w:divBdr>
        </w:div>
        <w:div w:id="1392579536">
          <w:marLeft w:val="0"/>
          <w:marRight w:val="0"/>
          <w:marTop w:val="0"/>
          <w:marBottom w:val="0"/>
          <w:divBdr>
            <w:top w:val="none" w:sz="0" w:space="0" w:color="auto"/>
            <w:left w:val="none" w:sz="0" w:space="0" w:color="auto"/>
            <w:bottom w:val="none" w:sz="0" w:space="0" w:color="auto"/>
            <w:right w:val="none" w:sz="0" w:space="0" w:color="auto"/>
          </w:divBdr>
        </w:div>
        <w:div w:id="1370911714">
          <w:marLeft w:val="0"/>
          <w:marRight w:val="0"/>
          <w:marTop w:val="0"/>
          <w:marBottom w:val="0"/>
          <w:divBdr>
            <w:top w:val="none" w:sz="0" w:space="0" w:color="auto"/>
            <w:left w:val="none" w:sz="0" w:space="0" w:color="auto"/>
            <w:bottom w:val="none" w:sz="0" w:space="0" w:color="auto"/>
            <w:right w:val="none" w:sz="0" w:space="0" w:color="auto"/>
          </w:divBdr>
        </w:div>
        <w:div w:id="1140534317">
          <w:marLeft w:val="0"/>
          <w:marRight w:val="0"/>
          <w:marTop w:val="0"/>
          <w:marBottom w:val="0"/>
          <w:divBdr>
            <w:top w:val="none" w:sz="0" w:space="0" w:color="auto"/>
            <w:left w:val="none" w:sz="0" w:space="0" w:color="auto"/>
            <w:bottom w:val="none" w:sz="0" w:space="0" w:color="auto"/>
            <w:right w:val="none" w:sz="0" w:space="0" w:color="auto"/>
          </w:divBdr>
        </w:div>
      </w:divsChild>
    </w:div>
    <w:div w:id="1139810997">
      <w:marLeft w:val="0"/>
      <w:marRight w:val="0"/>
      <w:marTop w:val="0"/>
      <w:marBottom w:val="0"/>
      <w:divBdr>
        <w:top w:val="none" w:sz="0" w:space="0" w:color="auto"/>
        <w:left w:val="none" w:sz="0" w:space="0" w:color="auto"/>
        <w:bottom w:val="none" w:sz="0" w:space="0" w:color="auto"/>
        <w:right w:val="none" w:sz="0" w:space="0" w:color="auto"/>
      </w:divBdr>
      <w:divsChild>
        <w:div w:id="878710426">
          <w:marLeft w:val="0"/>
          <w:marRight w:val="0"/>
          <w:marTop w:val="0"/>
          <w:marBottom w:val="0"/>
          <w:divBdr>
            <w:top w:val="none" w:sz="0" w:space="0" w:color="auto"/>
            <w:left w:val="none" w:sz="0" w:space="0" w:color="auto"/>
            <w:bottom w:val="none" w:sz="0" w:space="0" w:color="auto"/>
            <w:right w:val="none" w:sz="0" w:space="0" w:color="auto"/>
          </w:divBdr>
        </w:div>
        <w:div w:id="1362363562">
          <w:marLeft w:val="0"/>
          <w:marRight w:val="0"/>
          <w:marTop w:val="0"/>
          <w:marBottom w:val="0"/>
          <w:divBdr>
            <w:top w:val="none" w:sz="0" w:space="0" w:color="auto"/>
            <w:left w:val="none" w:sz="0" w:space="0" w:color="auto"/>
            <w:bottom w:val="none" w:sz="0" w:space="0" w:color="auto"/>
            <w:right w:val="none" w:sz="0" w:space="0" w:color="auto"/>
          </w:divBdr>
        </w:div>
        <w:div w:id="1730105041">
          <w:marLeft w:val="0"/>
          <w:marRight w:val="0"/>
          <w:marTop w:val="0"/>
          <w:marBottom w:val="0"/>
          <w:divBdr>
            <w:top w:val="none" w:sz="0" w:space="0" w:color="auto"/>
            <w:left w:val="none" w:sz="0" w:space="0" w:color="auto"/>
            <w:bottom w:val="none" w:sz="0" w:space="0" w:color="auto"/>
            <w:right w:val="none" w:sz="0" w:space="0" w:color="auto"/>
          </w:divBdr>
        </w:div>
      </w:divsChild>
    </w:div>
    <w:div w:id="1152522817">
      <w:bodyDiv w:val="1"/>
      <w:marLeft w:val="0"/>
      <w:marRight w:val="0"/>
      <w:marTop w:val="0"/>
      <w:marBottom w:val="0"/>
      <w:divBdr>
        <w:top w:val="none" w:sz="0" w:space="0" w:color="auto"/>
        <w:left w:val="none" w:sz="0" w:space="0" w:color="auto"/>
        <w:bottom w:val="none" w:sz="0" w:space="0" w:color="auto"/>
        <w:right w:val="none" w:sz="0" w:space="0" w:color="auto"/>
      </w:divBdr>
      <w:divsChild>
        <w:div w:id="423576491">
          <w:marLeft w:val="0"/>
          <w:marRight w:val="0"/>
          <w:marTop w:val="0"/>
          <w:marBottom w:val="0"/>
          <w:divBdr>
            <w:top w:val="none" w:sz="0" w:space="0" w:color="auto"/>
            <w:left w:val="none" w:sz="0" w:space="0" w:color="auto"/>
            <w:bottom w:val="none" w:sz="0" w:space="0" w:color="auto"/>
            <w:right w:val="none" w:sz="0" w:space="0" w:color="auto"/>
          </w:divBdr>
        </w:div>
        <w:div w:id="1435369943">
          <w:marLeft w:val="0"/>
          <w:marRight w:val="0"/>
          <w:marTop w:val="0"/>
          <w:marBottom w:val="0"/>
          <w:divBdr>
            <w:top w:val="none" w:sz="0" w:space="0" w:color="auto"/>
            <w:left w:val="none" w:sz="0" w:space="0" w:color="auto"/>
            <w:bottom w:val="none" w:sz="0" w:space="0" w:color="auto"/>
            <w:right w:val="none" w:sz="0" w:space="0" w:color="auto"/>
          </w:divBdr>
        </w:div>
        <w:div w:id="692608695">
          <w:marLeft w:val="0"/>
          <w:marRight w:val="0"/>
          <w:marTop w:val="0"/>
          <w:marBottom w:val="0"/>
          <w:divBdr>
            <w:top w:val="none" w:sz="0" w:space="0" w:color="auto"/>
            <w:left w:val="none" w:sz="0" w:space="0" w:color="auto"/>
            <w:bottom w:val="none" w:sz="0" w:space="0" w:color="auto"/>
            <w:right w:val="none" w:sz="0" w:space="0" w:color="auto"/>
          </w:divBdr>
        </w:div>
        <w:div w:id="1389526780">
          <w:marLeft w:val="0"/>
          <w:marRight w:val="0"/>
          <w:marTop w:val="0"/>
          <w:marBottom w:val="0"/>
          <w:divBdr>
            <w:top w:val="none" w:sz="0" w:space="0" w:color="auto"/>
            <w:left w:val="none" w:sz="0" w:space="0" w:color="auto"/>
            <w:bottom w:val="none" w:sz="0" w:space="0" w:color="auto"/>
            <w:right w:val="none" w:sz="0" w:space="0" w:color="auto"/>
          </w:divBdr>
        </w:div>
      </w:divsChild>
    </w:div>
    <w:div w:id="1166363404">
      <w:bodyDiv w:val="1"/>
      <w:marLeft w:val="0"/>
      <w:marRight w:val="0"/>
      <w:marTop w:val="0"/>
      <w:marBottom w:val="0"/>
      <w:divBdr>
        <w:top w:val="none" w:sz="0" w:space="0" w:color="auto"/>
        <w:left w:val="none" w:sz="0" w:space="0" w:color="auto"/>
        <w:bottom w:val="none" w:sz="0" w:space="0" w:color="auto"/>
        <w:right w:val="none" w:sz="0" w:space="0" w:color="auto"/>
      </w:divBdr>
      <w:divsChild>
        <w:div w:id="292754948">
          <w:marLeft w:val="0"/>
          <w:marRight w:val="0"/>
          <w:marTop w:val="0"/>
          <w:marBottom w:val="0"/>
          <w:divBdr>
            <w:top w:val="none" w:sz="0" w:space="0" w:color="auto"/>
            <w:left w:val="none" w:sz="0" w:space="0" w:color="auto"/>
            <w:bottom w:val="none" w:sz="0" w:space="0" w:color="auto"/>
            <w:right w:val="none" w:sz="0" w:space="0" w:color="auto"/>
          </w:divBdr>
        </w:div>
        <w:div w:id="168108010">
          <w:marLeft w:val="0"/>
          <w:marRight w:val="0"/>
          <w:marTop w:val="0"/>
          <w:marBottom w:val="0"/>
          <w:divBdr>
            <w:top w:val="none" w:sz="0" w:space="0" w:color="auto"/>
            <w:left w:val="none" w:sz="0" w:space="0" w:color="auto"/>
            <w:bottom w:val="none" w:sz="0" w:space="0" w:color="auto"/>
            <w:right w:val="none" w:sz="0" w:space="0" w:color="auto"/>
          </w:divBdr>
        </w:div>
        <w:div w:id="1835103834">
          <w:marLeft w:val="0"/>
          <w:marRight w:val="0"/>
          <w:marTop w:val="0"/>
          <w:marBottom w:val="0"/>
          <w:divBdr>
            <w:top w:val="none" w:sz="0" w:space="0" w:color="auto"/>
            <w:left w:val="none" w:sz="0" w:space="0" w:color="auto"/>
            <w:bottom w:val="none" w:sz="0" w:space="0" w:color="auto"/>
            <w:right w:val="none" w:sz="0" w:space="0" w:color="auto"/>
          </w:divBdr>
        </w:div>
        <w:div w:id="1689603639">
          <w:marLeft w:val="0"/>
          <w:marRight w:val="0"/>
          <w:marTop w:val="0"/>
          <w:marBottom w:val="0"/>
          <w:divBdr>
            <w:top w:val="none" w:sz="0" w:space="0" w:color="auto"/>
            <w:left w:val="none" w:sz="0" w:space="0" w:color="auto"/>
            <w:bottom w:val="none" w:sz="0" w:space="0" w:color="auto"/>
            <w:right w:val="none" w:sz="0" w:space="0" w:color="auto"/>
          </w:divBdr>
        </w:div>
      </w:divsChild>
    </w:div>
    <w:div w:id="1199511613">
      <w:marLeft w:val="0"/>
      <w:marRight w:val="0"/>
      <w:marTop w:val="0"/>
      <w:marBottom w:val="0"/>
      <w:divBdr>
        <w:top w:val="none" w:sz="0" w:space="0" w:color="auto"/>
        <w:left w:val="none" w:sz="0" w:space="0" w:color="auto"/>
        <w:bottom w:val="none" w:sz="0" w:space="0" w:color="auto"/>
        <w:right w:val="none" w:sz="0" w:space="0" w:color="auto"/>
      </w:divBdr>
    </w:div>
    <w:div w:id="1231815181">
      <w:bodyDiv w:val="1"/>
      <w:marLeft w:val="0"/>
      <w:marRight w:val="0"/>
      <w:marTop w:val="0"/>
      <w:marBottom w:val="0"/>
      <w:divBdr>
        <w:top w:val="none" w:sz="0" w:space="0" w:color="auto"/>
        <w:left w:val="none" w:sz="0" w:space="0" w:color="auto"/>
        <w:bottom w:val="none" w:sz="0" w:space="0" w:color="auto"/>
        <w:right w:val="none" w:sz="0" w:space="0" w:color="auto"/>
      </w:divBdr>
      <w:divsChild>
        <w:div w:id="1233155576">
          <w:marLeft w:val="0"/>
          <w:marRight w:val="0"/>
          <w:marTop w:val="0"/>
          <w:marBottom w:val="0"/>
          <w:divBdr>
            <w:top w:val="none" w:sz="0" w:space="0" w:color="auto"/>
            <w:left w:val="none" w:sz="0" w:space="0" w:color="auto"/>
            <w:bottom w:val="none" w:sz="0" w:space="0" w:color="auto"/>
            <w:right w:val="none" w:sz="0" w:space="0" w:color="auto"/>
          </w:divBdr>
        </w:div>
        <w:div w:id="1400059957">
          <w:marLeft w:val="0"/>
          <w:marRight w:val="0"/>
          <w:marTop w:val="0"/>
          <w:marBottom w:val="0"/>
          <w:divBdr>
            <w:top w:val="none" w:sz="0" w:space="0" w:color="auto"/>
            <w:left w:val="none" w:sz="0" w:space="0" w:color="auto"/>
            <w:bottom w:val="none" w:sz="0" w:space="0" w:color="auto"/>
            <w:right w:val="none" w:sz="0" w:space="0" w:color="auto"/>
          </w:divBdr>
        </w:div>
        <w:div w:id="108866040">
          <w:marLeft w:val="0"/>
          <w:marRight w:val="0"/>
          <w:marTop w:val="0"/>
          <w:marBottom w:val="0"/>
          <w:divBdr>
            <w:top w:val="none" w:sz="0" w:space="0" w:color="auto"/>
            <w:left w:val="none" w:sz="0" w:space="0" w:color="auto"/>
            <w:bottom w:val="none" w:sz="0" w:space="0" w:color="auto"/>
            <w:right w:val="none" w:sz="0" w:space="0" w:color="auto"/>
          </w:divBdr>
        </w:div>
        <w:div w:id="309866865">
          <w:marLeft w:val="0"/>
          <w:marRight w:val="0"/>
          <w:marTop w:val="0"/>
          <w:marBottom w:val="0"/>
          <w:divBdr>
            <w:top w:val="none" w:sz="0" w:space="0" w:color="auto"/>
            <w:left w:val="none" w:sz="0" w:space="0" w:color="auto"/>
            <w:bottom w:val="none" w:sz="0" w:space="0" w:color="auto"/>
            <w:right w:val="none" w:sz="0" w:space="0" w:color="auto"/>
          </w:divBdr>
        </w:div>
      </w:divsChild>
    </w:div>
    <w:div w:id="1246652667">
      <w:marLeft w:val="0"/>
      <w:marRight w:val="0"/>
      <w:marTop w:val="0"/>
      <w:marBottom w:val="0"/>
      <w:divBdr>
        <w:top w:val="none" w:sz="0" w:space="0" w:color="auto"/>
        <w:left w:val="none" w:sz="0" w:space="0" w:color="auto"/>
        <w:bottom w:val="none" w:sz="0" w:space="0" w:color="auto"/>
        <w:right w:val="none" w:sz="0" w:space="0" w:color="auto"/>
      </w:divBdr>
      <w:divsChild>
        <w:div w:id="828861748">
          <w:marLeft w:val="0"/>
          <w:marRight w:val="0"/>
          <w:marTop w:val="0"/>
          <w:marBottom w:val="0"/>
          <w:divBdr>
            <w:top w:val="none" w:sz="0" w:space="0" w:color="auto"/>
            <w:left w:val="none" w:sz="0" w:space="0" w:color="auto"/>
            <w:bottom w:val="none" w:sz="0" w:space="0" w:color="auto"/>
            <w:right w:val="none" w:sz="0" w:space="0" w:color="auto"/>
          </w:divBdr>
        </w:div>
        <w:div w:id="738014465">
          <w:marLeft w:val="0"/>
          <w:marRight w:val="0"/>
          <w:marTop w:val="0"/>
          <w:marBottom w:val="0"/>
          <w:divBdr>
            <w:top w:val="none" w:sz="0" w:space="0" w:color="auto"/>
            <w:left w:val="none" w:sz="0" w:space="0" w:color="auto"/>
            <w:bottom w:val="none" w:sz="0" w:space="0" w:color="auto"/>
            <w:right w:val="none" w:sz="0" w:space="0" w:color="auto"/>
          </w:divBdr>
        </w:div>
        <w:div w:id="1943419650">
          <w:marLeft w:val="0"/>
          <w:marRight w:val="0"/>
          <w:marTop w:val="0"/>
          <w:marBottom w:val="0"/>
          <w:divBdr>
            <w:top w:val="none" w:sz="0" w:space="0" w:color="auto"/>
            <w:left w:val="none" w:sz="0" w:space="0" w:color="auto"/>
            <w:bottom w:val="none" w:sz="0" w:space="0" w:color="auto"/>
            <w:right w:val="none" w:sz="0" w:space="0" w:color="auto"/>
          </w:divBdr>
        </w:div>
      </w:divsChild>
    </w:div>
    <w:div w:id="1274242668">
      <w:marLeft w:val="0"/>
      <w:marRight w:val="0"/>
      <w:marTop w:val="0"/>
      <w:marBottom w:val="0"/>
      <w:divBdr>
        <w:top w:val="none" w:sz="0" w:space="0" w:color="auto"/>
        <w:left w:val="none" w:sz="0" w:space="0" w:color="auto"/>
        <w:bottom w:val="none" w:sz="0" w:space="0" w:color="auto"/>
        <w:right w:val="none" w:sz="0" w:space="0" w:color="auto"/>
      </w:divBdr>
      <w:divsChild>
        <w:div w:id="1779376761">
          <w:marLeft w:val="0"/>
          <w:marRight w:val="0"/>
          <w:marTop w:val="0"/>
          <w:marBottom w:val="0"/>
          <w:divBdr>
            <w:top w:val="none" w:sz="0" w:space="0" w:color="auto"/>
            <w:left w:val="none" w:sz="0" w:space="0" w:color="auto"/>
            <w:bottom w:val="none" w:sz="0" w:space="0" w:color="auto"/>
            <w:right w:val="none" w:sz="0" w:space="0" w:color="auto"/>
          </w:divBdr>
        </w:div>
        <w:div w:id="1189566781">
          <w:marLeft w:val="0"/>
          <w:marRight w:val="0"/>
          <w:marTop w:val="0"/>
          <w:marBottom w:val="0"/>
          <w:divBdr>
            <w:top w:val="none" w:sz="0" w:space="0" w:color="auto"/>
            <w:left w:val="none" w:sz="0" w:space="0" w:color="auto"/>
            <w:bottom w:val="none" w:sz="0" w:space="0" w:color="auto"/>
            <w:right w:val="none" w:sz="0" w:space="0" w:color="auto"/>
          </w:divBdr>
        </w:div>
        <w:div w:id="268657733">
          <w:marLeft w:val="0"/>
          <w:marRight w:val="0"/>
          <w:marTop w:val="0"/>
          <w:marBottom w:val="0"/>
          <w:divBdr>
            <w:top w:val="none" w:sz="0" w:space="0" w:color="auto"/>
            <w:left w:val="none" w:sz="0" w:space="0" w:color="auto"/>
            <w:bottom w:val="none" w:sz="0" w:space="0" w:color="auto"/>
            <w:right w:val="none" w:sz="0" w:space="0" w:color="auto"/>
          </w:divBdr>
        </w:div>
      </w:divsChild>
    </w:div>
    <w:div w:id="1295866488">
      <w:marLeft w:val="0"/>
      <w:marRight w:val="0"/>
      <w:marTop w:val="0"/>
      <w:marBottom w:val="0"/>
      <w:divBdr>
        <w:top w:val="none" w:sz="0" w:space="0" w:color="auto"/>
        <w:left w:val="none" w:sz="0" w:space="0" w:color="auto"/>
        <w:bottom w:val="none" w:sz="0" w:space="0" w:color="auto"/>
        <w:right w:val="none" w:sz="0" w:space="0" w:color="auto"/>
      </w:divBdr>
      <w:divsChild>
        <w:div w:id="1820537429">
          <w:marLeft w:val="0"/>
          <w:marRight w:val="0"/>
          <w:marTop w:val="0"/>
          <w:marBottom w:val="0"/>
          <w:divBdr>
            <w:top w:val="none" w:sz="0" w:space="0" w:color="auto"/>
            <w:left w:val="none" w:sz="0" w:space="0" w:color="auto"/>
            <w:bottom w:val="none" w:sz="0" w:space="0" w:color="auto"/>
            <w:right w:val="none" w:sz="0" w:space="0" w:color="auto"/>
          </w:divBdr>
        </w:div>
        <w:div w:id="1997565063">
          <w:marLeft w:val="0"/>
          <w:marRight w:val="0"/>
          <w:marTop w:val="0"/>
          <w:marBottom w:val="0"/>
          <w:divBdr>
            <w:top w:val="none" w:sz="0" w:space="0" w:color="auto"/>
            <w:left w:val="none" w:sz="0" w:space="0" w:color="auto"/>
            <w:bottom w:val="none" w:sz="0" w:space="0" w:color="auto"/>
            <w:right w:val="none" w:sz="0" w:space="0" w:color="auto"/>
          </w:divBdr>
        </w:div>
        <w:div w:id="430056589">
          <w:marLeft w:val="0"/>
          <w:marRight w:val="0"/>
          <w:marTop w:val="0"/>
          <w:marBottom w:val="0"/>
          <w:divBdr>
            <w:top w:val="none" w:sz="0" w:space="0" w:color="auto"/>
            <w:left w:val="none" w:sz="0" w:space="0" w:color="auto"/>
            <w:bottom w:val="none" w:sz="0" w:space="0" w:color="auto"/>
            <w:right w:val="none" w:sz="0" w:space="0" w:color="auto"/>
          </w:divBdr>
        </w:div>
      </w:divsChild>
    </w:div>
    <w:div w:id="1303316082">
      <w:bodyDiv w:val="1"/>
      <w:marLeft w:val="0"/>
      <w:marRight w:val="0"/>
      <w:marTop w:val="0"/>
      <w:marBottom w:val="0"/>
      <w:divBdr>
        <w:top w:val="none" w:sz="0" w:space="0" w:color="auto"/>
        <w:left w:val="none" w:sz="0" w:space="0" w:color="auto"/>
        <w:bottom w:val="none" w:sz="0" w:space="0" w:color="auto"/>
        <w:right w:val="none" w:sz="0" w:space="0" w:color="auto"/>
      </w:divBdr>
      <w:divsChild>
        <w:div w:id="1473446917">
          <w:marLeft w:val="0"/>
          <w:marRight w:val="0"/>
          <w:marTop w:val="0"/>
          <w:marBottom w:val="0"/>
          <w:divBdr>
            <w:top w:val="none" w:sz="0" w:space="0" w:color="auto"/>
            <w:left w:val="none" w:sz="0" w:space="0" w:color="auto"/>
            <w:bottom w:val="none" w:sz="0" w:space="0" w:color="auto"/>
            <w:right w:val="none" w:sz="0" w:space="0" w:color="auto"/>
          </w:divBdr>
        </w:div>
        <w:div w:id="1770925663">
          <w:marLeft w:val="0"/>
          <w:marRight w:val="0"/>
          <w:marTop w:val="0"/>
          <w:marBottom w:val="0"/>
          <w:divBdr>
            <w:top w:val="none" w:sz="0" w:space="0" w:color="auto"/>
            <w:left w:val="none" w:sz="0" w:space="0" w:color="auto"/>
            <w:bottom w:val="none" w:sz="0" w:space="0" w:color="auto"/>
            <w:right w:val="none" w:sz="0" w:space="0" w:color="auto"/>
          </w:divBdr>
        </w:div>
        <w:div w:id="1222715765">
          <w:marLeft w:val="0"/>
          <w:marRight w:val="0"/>
          <w:marTop w:val="0"/>
          <w:marBottom w:val="0"/>
          <w:divBdr>
            <w:top w:val="none" w:sz="0" w:space="0" w:color="auto"/>
            <w:left w:val="none" w:sz="0" w:space="0" w:color="auto"/>
            <w:bottom w:val="none" w:sz="0" w:space="0" w:color="auto"/>
            <w:right w:val="none" w:sz="0" w:space="0" w:color="auto"/>
          </w:divBdr>
        </w:div>
        <w:div w:id="16591713">
          <w:marLeft w:val="0"/>
          <w:marRight w:val="0"/>
          <w:marTop w:val="0"/>
          <w:marBottom w:val="0"/>
          <w:divBdr>
            <w:top w:val="none" w:sz="0" w:space="0" w:color="auto"/>
            <w:left w:val="none" w:sz="0" w:space="0" w:color="auto"/>
            <w:bottom w:val="none" w:sz="0" w:space="0" w:color="auto"/>
            <w:right w:val="none" w:sz="0" w:space="0" w:color="auto"/>
          </w:divBdr>
        </w:div>
      </w:divsChild>
    </w:div>
    <w:div w:id="1420247831">
      <w:bodyDiv w:val="1"/>
      <w:marLeft w:val="0"/>
      <w:marRight w:val="0"/>
      <w:marTop w:val="0"/>
      <w:marBottom w:val="0"/>
      <w:divBdr>
        <w:top w:val="none" w:sz="0" w:space="0" w:color="auto"/>
        <w:left w:val="none" w:sz="0" w:space="0" w:color="auto"/>
        <w:bottom w:val="none" w:sz="0" w:space="0" w:color="auto"/>
        <w:right w:val="none" w:sz="0" w:space="0" w:color="auto"/>
      </w:divBdr>
      <w:divsChild>
        <w:div w:id="437717584">
          <w:marLeft w:val="0"/>
          <w:marRight w:val="0"/>
          <w:marTop w:val="0"/>
          <w:marBottom w:val="0"/>
          <w:divBdr>
            <w:top w:val="none" w:sz="0" w:space="0" w:color="auto"/>
            <w:left w:val="none" w:sz="0" w:space="0" w:color="auto"/>
            <w:bottom w:val="none" w:sz="0" w:space="0" w:color="auto"/>
            <w:right w:val="none" w:sz="0" w:space="0" w:color="auto"/>
          </w:divBdr>
        </w:div>
        <w:div w:id="114636782">
          <w:marLeft w:val="0"/>
          <w:marRight w:val="0"/>
          <w:marTop w:val="0"/>
          <w:marBottom w:val="0"/>
          <w:divBdr>
            <w:top w:val="none" w:sz="0" w:space="0" w:color="auto"/>
            <w:left w:val="none" w:sz="0" w:space="0" w:color="auto"/>
            <w:bottom w:val="none" w:sz="0" w:space="0" w:color="auto"/>
            <w:right w:val="none" w:sz="0" w:space="0" w:color="auto"/>
          </w:divBdr>
        </w:div>
        <w:div w:id="936526702">
          <w:marLeft w:val="0"/>
          <w:marRight w:val="0"/>
          <w:marTop w:val="0"/>
          <w:marBottom w:val="0"/>
          <w:divBdr>
            <w:top w:val="none" w:sz="0" w:space="0" w:color="auto"/>
            <w:left w:val="none" w:sz="0" w:space="0" w:color="auto"/>
            <w:bottom w:val="none" w:sz="0" w:space="0" w:color="auto"/>
            <w:right w:val="none" w:sz="0" w:space="0" w:color="auto"/>
          </w:divBdr>
        </w:div>
        <w:div w:id="626278356">
          <w:marLeft w:val="0"/>
          <w:marRight w:val="0"/>
          <w:marTop w:val="0"/>
          <w:marBottom w:val="0"/>
          <w:divBdr>
            <w:top w:val="none" w:sz="0" w:space="0" w:color="auto"/>
            <w:left w:val="none" w:sz="0" w:space="0" w:color="auto"/>
            <w:bottom w:val="none" w:sz="0" w:space="0" w:color="auto"/>
            <w:right w:val="none" w:sz="0" w:space="0" w:color="auto"/>
          </w:divBdr>
        </w:div>
      </w:divsChild>
    </w:div>
    <w:div w:id="1425228161">
      <w:marLeft w:val="0"/>
      <w:marRight w:val="0"/>
      <w:marTop w:val="0"/>
      <w:marBottom w:val="0"/>
      <w:divBdr>
        <w:top w:val="none" w:sz="0" w:space="0" w:color="auto"/>
        <w:left w:val="none" w:sz="0" w:space="0" w:color="auto"/>
        <w:bottom w:val="none" w:sz="0" w:space="0" w:color="auto"/>
        <w:right w:val="none" w:sz="0" w:space="0" w:color="auto"/>
      </w:divBdr>
      <w:divsChild>
        <w:div w:id="1981108957">
          <w:marLeft w:val="0"/>
          <w:marRight w:val="0"/>
          <w:marTop w:val="0"/>
          <w:marBottom w:val="0"/>
          <w:divBdr>
            <w:top w:val="none" w:sz="0" w:space="0" w:color="auto"/>
            <w:left w:val="none" w:sz="0" w:space="0" w:color="auto"/>
            <w:bottom w:val="none" w:sz="0" w:space="0" w:color="auto"/>
            <w:right w:val="none" w:sz="0" w:space="0" w:color="auto"/>
          </w:divBdr>
        </w:div>
        <w:div w:id="58021931">
          <w:marLeft w:val="0"/>
          <w:marRight w:val="0"/>
          <w:marTop w:val="0"/>
          <w:marBottom w:val="0"/>
          <w:divBdr>
            <w:top w:val="none" w:sz="0" w:space="0" w:color="auto"/>
            <w:left w:val="none" w:sz="0" w:space="0" w:color="auto"/>
            <w:bottom w:val="none" w:sz="0" w:space="0" w:color="auto"/>
            <w:right w:val="none" w:sz="0" w:space="0" w:color="auto"/>
          </w:divBdr>
        </w:div>
        <w:div w:id="1150439985">
          <w:marLeft w:val="0"/>
          <w:marRight w:val="0"/>
          <w:marTop w:val="0"/>
          <w:marBottom w:val="0"/>
          <w:divBdr>
            <w:top w:val="none" w:sz="0" w:space="0" w:color="auto"/>
            <w:left w:val="none" w:sz="0" w:space="0" w:color="auto"/>
            <w:bottom w:val="none" w:sz="0" w:space="0" w:color="auto"/>
            <w:right w:val="none" w:sz="0" w:space="0" w:color="auto"/>
          </w:divBdr>
        </w:div>
      </w:divsChild>
    </w:div>
    <w:div w:id="1431967803">
      <w:marLeft w:val="0"/>
      <w:marRight w:val="0"/>
      <w:marTop w:val="0"/>
      <w:marBottom w:val="0"/>
      <w:divBdr>
        <w:top w:val="none" w:sz="0" w:space="0" w:color="auto"/>
        <w:left w:val="none" w:sz="0" w:space="0" w:color="auto"/>
        <w:bottom w:val="none" w:sz="0" w:space="0" w:color="auto"/>
        <w:right w:val="none" w:sz="0" w:space="0" w:color="auto"/>
      </w:divBdr>
      <w:divsChild>
        <w:div w:id="604390292">
          <w:marLeft w:val="0"/>
          <w:marRight w:val="0"/>
          <w:marTop w:val="0"/>
          <w:marBottom w:val="0"/>
          <w:divBdr>
            <w:top w:val="none" w:sz="0" w:space="0" w:color="auto"/>
            <w:left w:val="none" w:sz="0" w:space="0" w:color="auto"/>
            <w:bottom w:val="none" w:sz="0" w:space="0" w:color="auto"/>
            <w:right w:val="none" w:sz="0" w:space="0" w:color="auto"/>
          </w:divBdr>
        </w:div>
        <w:div w:id="735859650">
          <w:marLeft w:val="0"/>
          <w:marRight w:val="0"/>
          <w:marTop w:val="0"/>
          <w:marBottom w:val="0"/>
          <w:divBdr>
            <w:top w:val="none" w:sz="0" w:space="0" w:color="auto"/>
            <w:left w:val="none" w:sz="0" w:space="0" w:color="auto"/>
            <w:bottom w:val="none" w:sz="0" w:space="0" w:color="auto"/>
            <w:right w:val="none" w:sz="0" w:space="0" w:color="auto"/>
          </w:divBdr>
        </w:div>
        <w:div w:id="1422682134">
          <w:marLeft w:val="0"/>
          <w:marRight w:val="0"/>
          <w:marTop w:val="0"/>
          <w:marBottom w:val="0"/>
          <w:divBdr>
            <w:top w:val="none" w:sz="0" w:space="0" w:color="auto"/>
            <w:left w:val="none" w:sz="0" w:space="0" w:color="auto"/>
            <w:bottom w:val="none" w:sz="0" w:space="0" w:color="auto"/>
            <w:right w:val="none" w:sz="0" w:space="0" w:color="auto"/>
          </w:divBdr>
        </w:div>
        <w:div w:id="2003121508">
          <w:marLeft w:val="0"/>
          <w:marRight w:val="0"/>
          <w:marTop w:val="0"/>
          <w:marBottom w:val="0"/>
          <w:divBdr>
            <w:top w:val="none" w:sz="0" w:space="0" w:color="auto"/>
            <w:left w:val="none" w:sz="0" w:space="0" w:color="auto"/>
            <w:bottom w:val="none" w:sz="0" w:space="0" w:color="auto"/>
            <w:right w:val="none" w:sz="0" w:space="0" w:color="auto"/>
          </w:divBdr>
        </w:div>
      </w:divsChild>
    </w:div>
    <w:div w:id="1433474390">
      <w:marLeft w:val="0"/>
      <w:marRight w:val="0"/>
      <w:marTop w:val="0"/>
      <w:marBottom w:val="0"/>
      <w:divBdr>
        <w:top w:val="none" w:sz="0" w:space="0" w:color="auto"/>
        <w:left w:val="none" w:sz="0" w:space="0" w:color="auto"/>
        <w:bottom w:val="none" w:sz="0" w:space="0" w:color="auto"/>
        <w:right w:val="none" w:sz="0" w:space="0" w:color="auto"/>
      </w:divBdr>
      <w:divsChild>
        <w:div w:id="808473002">
          <w:marLeft w:val="0"/>
          <w:marRight w:val="0"/>
          <w:marTop w:val="0"/>
          <w:marBottom w:val="0"/>
          <w:divBdr>
            <w:top w:val="none" w:sz="0" w:space="0" w:color="auto"/>
            <w:left w:val="none" w:sz="0" w:space="0" w:color="auto"/>
            <w:bottom w:val="none" w:sz="0" w:space="0" w:color="auto"/>
            <w:right w:val="none" w:sz="0" w:space="0" w:color="auto"/>
          </w:divBdr>
        </w:div>
        <w:div w:id="743840376">
          <w:marLeft w:val="0"/>
          <w:marRight w:val="0"/>
          <w:marTop w:val="0"/>
          <w:marBottom w:val="0"/>
          <w:divBdr>
            <w:top w:val="none" w:sz="0" w:space="0" w:color="auto"/>
            <w:left w:val="none" w:sz="0" w:space="0" w:color="auto"/>
            <w:bottom w:val="none" w:sz="0" w:space="0" w:color="auto"/>
            <w:right w:val="none" w:sz="0" w:space="0" w:color="auto"/>
          </w:divBdr>
        </w:div>
        <w:div w:id="1821657482">
          <w:marLeft w:val="0"/>
          <w:marRight w:val="0"/>
          <w:marTop w:val="0"/>
          <w:marBottom w:val="0"/>
          <w:divBdr>
            <w:top w:val="none" w:sz="0" w:space="0" w:color="auto"/>
            <w:left w:val="none" w:sz="0" w:space="0" w:color="auto"/>
            <w:bottom w:val="none" w:sz="0" w:space="0" w:color="auto"/>
            <w:right w:val="none" w:sz="0" w:space="0" w:color="auto"/>
          </w:divBdr>
        </w:div>
      </w:divsChild>
    </w:div>
    <w:div w:id="1464352653">
      <w:marLeft w:val="0"/>
      <w:marRight w:val="0"/>
      <w:marTop w:val="0"/>
      <w:marBottom w:val="0"/>
      <w:divBdr>
        <w:top w:val="none" w:sz="0" w:space="0" w:color="auto"/>
        <w:left w:val="none" w:sz="0" w:space="0" w:color="auto"/>
        <w:bottom w:val="none" w:sz="0" w:space="0" w:color="auto"/>
        <w:right w:val="none" w:sz="0" w:space="0" w:color="auto"/>
      </w:divBdr>
      <w:divsChild>
        <w:div w:id="1643656888">
          <w:marLeft w:val="0"/>
          <w:marRight w:val="0"/>
          <w:marTop w:val="0"/>
          <w:marBottom w:val="0"/>
          <w:divBdr>
            <w:top w:val="none" w:sz="0" w:space="0" w:color="auto"/>
            <w:left w:val="none" w:sz="0" w:space="0" w:color="auto"/>
            <w:bottom w:val="none" w:sz="0" w:space="0" w:color="auto"/>
            <w:right w:val="none" w:sz="0" w:space="0" w:color="auto"/>
          </w:divBdr>
        </w:div>
        <w:div w:id="1996909139">
          <w:marLeft w:val="0"/>
          <w:marRight w:val="0"/>
          <w:marTop w:val="0"/>
          <w:marBottom w:val="0"/>
          <w:divBdr>
            <w:top w:val="none" w:sz="0" w:space="0" w:color="auto"/>
            <w:left w:val="none" w:sz="0" w:space="0" w:color="auto"/>
            <w:bottom w:val="none" w:sz="0" w:space="0" w:color="auto"/>
            <w:right w:val="none" w:sz="0" w:space="0" w:color="auto"/>
          </w:divBdr>
        </w:div>
        <w:div w:id="838160952">
          <w:marLeft w:val="0"/>
          <w:marRight w:val="0"/>
          <w:marTop w:val="0"/>
          <w:marBottom w:val="0"/>
          <w:divBdr>
            <w:top w:val="none" w:sz="0" w:space="0" w:color="auto"/>
            <w:left w:val="none" w:sz="0" w:space="0" w:color="auto"/>
            <w:bottom w:val="none" w:sz="0" w:space="0" w:color="auto"/>
            <w:right w:val="none" w:sz="0" w:space="0" w:color="auto"/>
          </w:divBdr>
        </w:div>
      </w:divsChild>
    </w:div>
    <w:div w:id="1488478355">
      <w:bodyDiv w:val="1"/>
      <w:marLeft w:val="0"/>
      <w:marRight w:val="0"/>
      <w:marTop w:val="0"/>
      <w:marBottom w:val="0"/>
      <w:divBdr>
        <w:top w:val="none" w:sz="0" w:space="0" w:color="auto"/>
        <w:left w:val="none" w:sz="0" w:space="0" w:color="auto"/>
        <w:bottom w:val="none" w:sz="0" w:space="0" w:color="auto"/>
        <w:right w:val="none" w:sz="0" w:space="0" w:color="auto"/>
      </w:divBdr>
      <w:divsChild>
        <w:div w:id="387845632">
          <w:marLeft w:val="0"/>
          <w:marRight w:val="0"/>
          <w:marTop w:val="0"/>
          <w:marBottom w:val="0"/>
          <w:divBdr>
            <w:top w:val="none" w:sz="0" w:space="0" w:color="auto"/>
            <w:left w:val="none" w:sz="0" w:space="0" w:color="auto"/>
            <w:bottom w:val="none" w:sz="0" w:space="0" w:color="auto"/>
            <w:right w:val="none" w:sz="0" w:space="0" w:color="auto"/>
          </w:divBdr>
        </w:div>
        <w:div w:id="821429752">
          <w:marLeft w:val="0"/>
          <w:marRight w:val="0"/>
          <w:marTop w:val="0"/>
          <w:marBottom w:val="0"/>
          <w:divBdr>
            <w:top w:val="none" w:sz="0" w:space="0" w:color="auto"/>
            <w:left w:val="none" w:sz="0" w:space="0" w:color="auto"/>
            <w:bottom w:val="none" w:sz="0" w:space="0" w:color="auto"/>
            <w:right w:val="none" w:sz="0" w:space="0" w:color="auto"/>
          </w:divBdr>
        </w:div>
        <w:div w:id="1130250270">
          <w:marLeft w:val="0"/>
          <w:marRight w:val="0"/>
          <w:marTop w:val="0"/>
          <w:marBottom w:val="0"/>
          <w:divBdr>
            <w:top w:val="none" w:sz="0" w:space="0" w:color="auto"/>
            <w:left w:val="none" w:sz="0" w:space="0" w:color="auto"/>
            <w:bottom w:val="none" w:sz="0" w:space="0" w:color="auto"/>
            <w:right w:val="none" w:sz="0" w:space="0" w:color="auto"/>
          </w:divBdr>
        </w:div>
        <w:div w:id="1128548870">
          <w:marLeft w:val="0"/>
          <w:marRight w:val="0"/>
          <w:marTop w:val="0"/>
          <w:marBottom w:val="0"/>
          <w:divBdr>
            <w:top w:val="none" w:sz="0" w:space="0" w:color="auto"/>
            <w:left w:val="none" w:sz="0" w:space="0" w:color="auto"/>
            <w:bottom w:val="none" w:sz="0" w:space="0" w:color="auto"/>
            <w:right w:val="none" w:sz="0" w:space="0" w:color="auto"/>
          </w:divBdr>
        </w:div>
      </w:divsChild>
    </w:div>
    <w:div w:id="1545673553">
      <w:marLeft w:val="0"/>
      <w:marRight w:val="0"/>
      <w:marTop w:val="0"/>
      <w:marBottom w:val="0"/>
      <w:divBdr>
        <w:top w:val="none" w:sz="0" w:space="0" w:color="auto"/>
        <w:left w:val="none" w:sz="0" w:space="0" w:color="auto"/>
        <w:bottom w:val="none" w:sz="0" w:space="0" w:color="auto"/>
        <w:right w:val="none" w:sz="0" w:space="0" w:color="auto"/>
      </w:divBdr>
      <w:divsChild>
        <w:div w:id="44302603">
          <w:marLeft w:val="0"/>
          <w:marRight w:val="0"/>
          <w:marTop w:val="0"/>
          <w:marBottom w:val="0"/>
          <w:divBdr>
            <w:top w:val="none" w:sz="0" w:space="0" w:color="auto"/>
            <w:left w:val="none" w:sz="0" w:space="0" w:color="auto"/>
            <w:bottom w:val="none" w:sz="0" w:space="0" w:color="auto"/>
            <w:right w:val="none" w:sz="0" w:space="0" w:color="auto"/>
          </w:divBdr>
        </w:div>
        <w:div w:id="480735439">
          <w:marLeft w:val="0"/>
          <w:marRight w:val="0"/>
          <w:marTop w:val="0"/>
          <w:marBottom w:val="0"/>
          <w:divBdr>
            <w:top w:val="none" w:sz="0" w:space="0" w:color="auto"/>
            <w:left w:val="none" w:sz="0" w:space="0" w:color="auto"/>
            <w:bottom w:val="none" w:sz="0" w:space="0" w:color="auto"/>
            <w:right w:val="none" w:sz="0" w:space="0" w:color="auto"/>
          </w:divBdr>
        </w:div>
        <w:div w:id="121577113">
          <w:marLeft w:val="0"/>
          <w:marRight w:val="0"/>
          <w:marTop w:val="0"/>
          <w:marBottom w:val="0"/>
          <w:divBdr>
            <w:top w:val="none" w:sz="0" w:space="0" w:color="auto"/>
            <w:left w:val="none" w:sz="0" w:space="0" w:color="auto"/>
            <w:bottom w:val="none" w:sz="0" w:space="0" w:color="auto"/>
            <w:right w:val="none" w:sz="0" w:space="0" w:color="auto"/>
          </w:divBdr>
        </w:div>
      </w:divsChild>
    </w:div>
    <w:div w:id="1569074586">
      <w:bodyDiv w:val="1"/>
      <w:marLeft w:val="0"/>
      <w:marRight w:val="0"/>
      <w:marTop w:val="0"/>
      <w:marBottom w:val="0"/>
      <w:divBdr>
        <w:top w:val="none" w:sz="0" w:space="0" w:color="auto"/>
        <w:left w:val="none" w:sz="0" w:space="0" w:color="auto"/>
        <w:bottom w:val="none" w:sz="0" w:space="0" w:color="auto"/>
        <w:right w:val="none" w:sz="0" w:space="0" w:color="auto"/>
      </w:divBdr>
      <w:divsChild>
        <w:div w:id="1155074215">
          <w:marLeft w:val="0"/>
          <w:marRight w:val="0"/>
          <w:marTop w:val="0"/>
          <w:marBottom w:val="0"/>
          <w:divBdr>
            <w:top w:val="none" w:sz="0" w:space="0" w:color="auto"/>
            <w:left w:val="none" w:sz="0" w:space="0" w:color="auto"/>
            <w:bottom w:val="none" w:sz="0" w:space="0" w:color="auto"/>
            <w:right w:val="none" w:sz="0" w:space="0" w:color="auto"/>
          </w:divBdr>
        </w:div>
        <w:div w:id="996348961">
          <w:marLeft w:val="0"/>
          <w:marRight w:val="0"/>
          <w:marTop w:val="0"/>
          <w:marBottom w:val="0"/>
          <w:divBdr>
            <w:top w:val="none" w:sz="0" w:space="0" w:color="auto"/>
            <w:left w:val="none" w:sz="0" w:space="0" w:color="auto"/>
            <w:bottom w:val="none" w:sz="0" w:space="0" w:color="auto"/>
            <w:right w:val="none" w:sz="0" w:space="0" w:color="auto"/>
          </w:divBdr>
        </w:div>
        <w:div w:id="752162445">
          <w:marLeft w:val="0"/>
          <w:marRight w:val="0"/>
          <w:marTop w:val="0"/>
          <w:marBottom w:val="0"/>
          <w:divBdr>
            <w:top w:val="none" w:sz="0" w:space="0" w:color="auto"/>
            <w:left w:val="none" w:sz="0" w:space="0" w:color="auto"/>
            <w:bottom w:val="none" w:sz="0" w:space="0" w:color="auto"/>
            <w:right w:val="none" w:sz="0" w:space="0" w:color="auto"/>
          </w:divBdr>
        </w:div>
        <w:div w:id="29260347">
          <w:marLeft w:val="0"/>
          <w:marRight w:val="0"/>
          <w:marTop w:val="0"/>
          <w:marBottom w:val="0"/>
          <w:divBdr>
            <w:top w:val="none" w:sz="0" w:space="0" w:color="auto"/>
            <w:left w:val="none" w:sz="0" w:space="0" w:color="auto"/>
            <w:bottom w:val="none" w:sz="0" w:space="0" w:color="auto"/>
            <w:right w:val="none" w:sz="0" w:space="0" w:color="auto"/>
          </w:divBdr>
        </w:div>
      </w:divsChild>
    </w:div>
    <w:div w:id="1658798451">
      <w:marLeft w:val="0"/>
      <w:marRight w:val="0"/>
      <w:marTop w:val="0"/>
      <w:marBottom w:val="0"/>
      <w:divBdr>
        <w:top w:val="none" w:sz="0" w:space="0" w:color="auto"/>
        <w:left w:val="none" w:sz="0" w:space="0" w:color="auto"/>
        <w:bottom w:val="none" w:sz="0" w:space="0" w:color="auto"/>
        <w:right w:val="none" w:sz="0" w:space="0" w:color="auto"/>
      </w:divBdr>
      <w:divsChild>
        <w:div w:id="1231960236">
          <w:marLeft w:val="0"/>
          <w:marRight w:val="0"/>
          <w:marTop w:val="0"/>
          <w:marBottom w:val="0"/>
          <w:divBdr>
            <w:top w:val="none" w:sz="0" w:space="0" w:color="auto"/>
            <w:left w:val="none" w:sz="0" w:space="0" w:color="auto"/>
            <w:bottom w:val="none" w:sz="0" w:space="0" w:color="auto"/>
            <w:right w:val="none" w:sz="0" w:space="0" w:color="auto"/>
          </w:divBdr>
        </w:div>
        <w:div w:id="1629504879">
          <w:marLeft w:val="0"/>
          <w:marRight w:val="0"/>
          <w:marTop w:val="0"/>
          <w:marBottom w:val="0"/>
          <w:divBdr>
            <w:top w:val="none" w:sz="0" w:space="0" w:color="auto"/>
            <w:left w:val="none" w:sz="0" w:space="0" w:color="auto"/>
            <w:bottom w:val="none" w:sz="0" w:space="0" w:color="auto"/>
            <w:right w:val="none" w:sz="0" w:space="0" w:color="auto"/>
          </w:divBdr>
        </w:div>
        <w:div w:id="1386903987">
          <w:marLeft w:val="0"/>
          <w:marRight w:val="0"/>
          <w:marTop w:val="0"/>
          <w:marBottom w:val="0"/>
          <w:divBdr>
            <w:top w:val="none" w:sz="0" w:space="0" w:color="auto"/>
            <w:left w:val="none" w:sz="0" w:space="0" w:color="auto"/>
            <w:bottom w:val="none" w:sz="0" w:space="0" w:color="auto"/>
            <w:right w:val="none" w:sz="0" w:space="0" w:color="auto"/>
          </w:divBdr>
        </w:div>
      </w:divsChild>
    </w:div>
    <w:div w:id="1669291509">
      <w:marLeft w:val="0"/>
      <w:marRight w:val="0"/>
      <w:marTop w:val="0"/>
      <w:marBottom w:val="0"/>
      <w:divBdr>
        <w:top w:val="none" w:sz="0" w:space="0" w:color="auto"/>
        <w:left w:val="none" w:sz="0" w:space="0" w:color="auto"/>
        <w:bottom w:val="none" w:sz="0" w:space="0" w:color="auto"/>
        <w:right w:val="none" w:sz="0" w:space="0" w:color="auto"/>
      </w:divBdr>
      <w:divsChild>
        <w:div w:id="1840540540">
          <w:marLeft w:val="0"/>
          <w:marRight w:val="0"/>
          <w:marTop w:val="0"/>
          <w:marBottom w:val="0"/>
          <w:divBdr>
            <w:top w:val="none" w:sz="0" w:space="0" w:color="auto"/>
            <w:left w:val="none" w:sz="0" w:space="0" w:color="auto"/>
            <w:bottom w:val="none" w:sz="0" w:space="0" w:color="auto"/>
            <w:right w:val="none" w:sz="0" w:space="0" w:color="auto"/>
          </w:divBdr>
        </w:div>
        <w:div w:id="1392462073">
          <w:marLeft w:val="0"/>
          <w:marRight w:val="0"/>
          <w:marTop w:val="0"/>
          <w:marBottom w:val="0"/>
          <w:divBdr>
            <w:top w:val="none" w:sz="0" w:space="0" w:color="auto"/>
            <w:left w:val="none" w:sz="0" w:space="0" w:color="auto"/>
            <w:bottom w:val="none" w:sz="0" w:space="0" w:color="auto"/>
            <w:right w:val="none" w:sz="0" w:space="0" w:color="auto"/>
          </w:divBdr>
        </w:div>
        <w:div w:id="62220371">
          <w:marLeft w:val="0"/>
          <w:marRight w:val="0"/>
          <w:marTop w:val="0"/>
          <w:marBottom w:val="0"/>
          <w:divBdr>
            <w:top w:val="none" w:sz="0" w:space="0" w:color="auto"/>
            <w:left w:val="none" w:sz="0" w:space="0" w:color="auto"/>
            <w:bottom w:val="none" w:sz="0" w:space="0" w:color="auto"/>
            <w:right w:val="none" w:sz="0" w:space="0" w:color="auto"/>
          </w:divBdr>
        </w:div>
      </w:divsChild>
    </w:div>
    <w:div w:id="1681815717">
      <w:marLeft w:val="0"/>
      <w:marRight w:val="0"/>
      <w:marTop w:val="0"/>
      <w:marBottom w:val="0"/>
      <w:divBdr>
        <w:top w:val="none" w:sz="0" w:space="0" w:color="auto"/>
        <w:left w:val="none" w:sz="0" w:space="0" w:color="auto"/>
        <w:bottom w:val="none" w:sz="0" w:space="0" w:color="auto"/>
        <w:right w:val="none" w:sz="0" w:space="0" w:color="auto"/>
      </w:divBdr>
      <w:divsChild>
        <w:div w:id="1857310319">
          <w:marLeft w:val="0"/>
          <w:marRight w:val="0"/>
          <w:marTop w:val="0"/>
          <w:marBottom w:val="0"/>
          <w:divBdr>
            <w:top w:val="none" w:sz="0" w:space="0" w:color="auto"/>
            <w:left w:val="none" w:sz="0" w:space="0" w:color="auto"/>
            <w:bottom w:val="none" w:sz="0" w:space="0" w:color="auto"/>
            <w:right w:val="none" w:sz="0" w:space="0" w:color="auto"/>
          </w:divBdr>
        </w:div>
        <w:div w:id="128672193">
          <w:marLeft w:val="0"/>
          <w:marRight w:val="0"/>
          <w:marTop w:val="0"/>
          <w:marBottom w:val="0"/>
          <w:divBdr>
            <w:top w:val="none" w:sz="0" w:space="0" w:color="auto"/>
            <w:left w:val="none" w:sz="0" w:space="0" w:color="auto"/>
            <w:bottom w:val="none" w:sz="0" w:space="0" w:color="auto"/>
            <w:right w:val="none" w:sz="0" w:space="0" w:color="auto"/>
          </w:divBdr>
        </w:div>
        <w:div w:id="206064598">
          <w:marLeft w:val="0"/>
          <w:marRight w:val="0"/>
          <w:marTop w:val="0"/>
          <w:marBottom w:val="0"/>
          <w:divBdr>
            <w:top w:val="none" w:sz="0" w:space="0" w:color="auto"/>
            <w:left w:val="none" w:sz="0" w:space="0" w:color="auto"/>
            <w:bottom w:val="none" w:sz="0" w:space="0" w:color="auto"/>
            <w:right w:val="none" w:sz="0" w:space="0" w:color="auto"/>
          </w:divBdr>
        </w:div>
      </w:divsChild>
    </w:div>
    <w:div w:id="1705519895">
      <w:bodyDiv w:val="1"/>
      <w:marLeft w:val="0"/>
      <w:marRight w:val="0"/>
      <w:marTop w:val="0"/>
      <w:marBottom w:val="0"/>
      <w:divBdr>
        <w:top w:val="none" w:sz="0" w:space="0" w:color="auto"/>
        <w:left w:val="none" w:sz="0" w:space="0" w:color="auto"/>
        <w:bottom w:val="none" w:sz="0" w:space="0" w:color="auto"/>
        <w:right w:val="none" w:sz="0" w:space="0" w:color="auto"/>
      </w:divBdr>
      <w:divsChild>
        <w:div w:id="1473253184">
          <w:marLeft w:val="0"/>
          <w:marRight w:val="0"/>
          <w:marTop w:val="0"/>
          <w:marBottom w:val="0"/>
          <w:divBdr>
            <w:top w:val="none" w:sz="0" w:space="0" w:color="auto"/>
            <w:left w:val="none" w:sz="0" w:space="0" w:color="auto"/>
            <w:bottom w:val="none" w:sz="0" w:space="0" w:color="auto"/>
            <w:right w:val="none" w:sz="0" w:space="0" w:color="auto"/>
          </w:divBdr>
        </w:div>
        <w:div w:id="45106528">
          <w:marLeft w:val="0"/>
          <w:marRight w:val="0"/>
          <w:marTop w:val="0"/>
          <w:marBottom w:val="0"/>
          <w:divBdr>
            <w:top w:val="none" w:sz="0" w:space="0" w:color="auto"/>
            <w:left w:val="none" w:sz="0" w:space="0" w:color="auto"/>
            <w:bottom w:val="none" w:sz="0" w:space="0" w:color="auto"/>
            <w:right w:val="none" w:sz="0" w:space="0" w:color="auto"/>
          </w:divBdr>
        </w:div>
        <w:div w:id="1770274742">
          <w:marLeft w:val="0"/>
          <w:marRight w:val="0"/>
          <w:marTop w:val="0"/>
          <w:marBottom w:val="0"/>
          <w:divBdr>
            <w:top w:val="none" w:sz="0" w:space="0" w:color="auto"/>
            <w:left w:val="none" w:sz="0" w:space="0" w:color="auto"/>
            <w:bottom w:val="none" w:sz="0" w:space="0" w:color="auto"/>
            <w:right w:val="none" w:sz="0" w:space="0" w:color="auto"/>
          </w:divBdr>
        </w:div>
        <w:div w:id="264923543">
          <w:marLeft w:val="0"/>
          <w:marRight w:val="0"/>
          <w:marTop w:val="0"/>
          <w:marBottom w:val="0"/>
          <w:divBdr>
            <w:top w:val="none" w:sz="0" w:space="0" w:color="auto"/>
            <w:left w:val="none" w:sz="0" w:space="0" w:color="auto"/>
            <w:bottom w:val="none" w:sz="0" w:space="0" w:color="auto"/>
            <w:right w:val="none" w:sz="0" w:space="0" w:color="auto"/>
          </w:divBdr>
        </w:div>
      </w:divsChild>
    </w:div>
    <w:div w:id="1789007329">
      <w:bodyDiv w:val="1"/>
      <w:marLeft w:val="0"/>
      <w:marRight w:val="0"/>
      <w:marTop w:val="0"/>
      <w:marBottom w:val="0"/>
      <w:divBdr>
        <w:top w:val="none" w:sz="0" w:space="0" w:color="auto"/>
        <w:left w:val="none" w:sz="0" w:space="0" w:color="auto"/>
        <w:bottom w:val="none" w:sz="0" w:space="0" w:color="auto"/>
        <w:right w:val="none" w:sz="0" w:space="0" w:color="auto"/>
      </w:divBdr>
      <w:divsChild>
        <w:div w:id="849761596">
          <w:marLeft w:val="0"/>
          <w:marRight w:val="0"/>
          <w:marTop w:val="0"/>
          <w:marBottom w:val="0"/>
          <w:divBdr>
            <w:top w:val="none" w:sz="0" w:space="0" w:color="auto"/>
            <w:left w:val="none" w:sz="0" w:space="0" w:color="auto"/>
            <w:bottom w:val="none" w:sz="0" w:space="0" w:color="auto"/>
            <w:right w:val="none" w:sz="0" w:space="0" w:color="auto"/>
          </w:divBdr>
        </w:div>
        <w:div w:id="1101605850">
          <w:marLeft w:val="0"/>
          <w:marRight w:val="0"/>
          <w:marTop w:val="0"/>
          <w:marBottom w:val="0"/>
          <w:divBdr>
            <w:top w:val="none" w:sz="0" w:space="0" w:color="auto"/>
            <w:left w:val="none" w:sz="0" w:space="0" w:color="auto"/>
            <w:bottom w:val="none" w:sz="0" w:space="0" w:color="auto"/>
            <w:right w:val="none" w:sz="0" w:space="0" w:color="auto"/>
          </w:divBdr>
        </w:div>
        <w:div w:id="2061511491">
          <w:marLeft w:val="0"/>
          <w:marRight w:val="0"/>
          <w:marTop w:val="0"/>
          <w:marBottom w:val="0"/>
          <w:divBdr>
            <w:top w:val="none" w:sz="0" w:space="0" w:color="auto"/>
            <w:left w:val="none" w:sz="0" w:space="0" w:color="auto"/>
            <w:bottom w:val="none" w:sz="0" w:space="0" w:color="auto"/>
            <w:right w:val="none" w:sz="0" w:space="0" w:color="auto"/>
          </w:divBdr>
        </w:div>
        <w:div w:id="860508142">
          <w:marLeft w:val="0"/>
          <w:marRight w:val="0"/>
          <w:marTop w:val="0"/>
          <w:marBottom w:val="0"/>
          <w:divBdr>
            <w:top w:val="none" w:sz="0" w:space="0" w:color="auto"/>
            <w:left w:val="none" w:sz="0" w:space="0" w:color="auto"/>
            <w:bottom w:val="none" w:sz="0" w:space="0" w:color="auto"/>
            <w:right w:val="none" w:sz="0" w:space="0" w:color="auto"/>
          </w:divBdr>
        </w:div>
      </w:divsChild>
    </w:div>
    <w:div w:id="1789085287">
      <w:marLeft w:val="0"/>
      <w:marRight w:val="0"/>
      <w:marTop w:val="0"/>
      <w:marBottom w:val="0"/>
      <w:divBdr>
        <w:top w:val="none" w:sz="0" w:space="0" w:color="auto"/>
        <w:left w:val="none" w:sz="0" w:space="0" w:color="auto"/>
        <w:bottom w:val="none" w:sz="0" w:space="0" w:color="auto"/>
        <w:right w:val="none" w:sz="0" w:space="0" w:color="auto"/>
      </w:divBdr>
      <w:divsChild>
        <w:div w:id="567346313">
          <w:marLeft w:val="0"/>
          <w:marRight w:val="0"/>
          <w:marTop w:val="0"/>
          <w:marBottom w:val="0"/>
          <w:divBdr>
            <w:top w:val="none" w:sz="0" w:space="0" w:color="auto"/>
            <w:left w:val="none" w:sz="0" w:space="0" w:color="auto"/>
            <w:bottom w:val="none" w:sz="0" w:space="0" w:color="auto"/>
            <w:right w:val="none" w:sz="0" w:space="0" w:color="auto"/>
          </w:divBdr>
        </w:div>
        <w:div w:id="29377557">
          <w:marLeft w:val="0"/>
          <w:marRight w:val="0"/>
          <w:marTop w:val="0"/>
          <w:marBottom w:val="0"/>
          <w:divBdr>
            <w:top w:val="none" w:sz="0" w:space="0" w:color="auto"/>
            <w:left w:val="none" w:sz="0" w:space="0" w:color="auto"/>
            <w:bottom w:val="none" w:sz="0" w:space="0" w:color="auto"/>
            <w:right w:val="none" w:sz="0" w:space="0" w:color="auto"/>
          </w:divBdr>
        </w:div>
        <w:div w:id="535973920">
          <w:marLeft w:val="0"/>
          <w:marRight w:val="0"/>
          <w:marTop w:val="0"/>
          <w:marBottom w:val="0"/>
          <w:divBdr>
            <w:top w:val="none" w:sz="0" w:space="0" w:color="auto"/>
            <w:left w:val="none" w:sz="0" w:space="0" w:color="auto"/>
            <w:bottom w:val="none" w:sz="0" w:space="0" w:color="auto"/>
            <w:right w:val="none" w:sz="0" w:space="0" w:color="auto"/>
          </w:divBdr>
        </w:div>
      </w:divsChild>
    </w:div>
    <w:div w:id="1871644093">
      <w:marLeft w:val="0"/>
      <w:marRight w:val="0"/>
      <w:marTop w:val="0"/>
      <w:marBottom w:val="0"/>
      <w:divBdr>
        <w:top w:val="none" w:sz="0" w:space="0" w:color="auto"/>
        <w:left w:val="none" w:sz="0" w:space="0" w:color="auto"/>
        <w:bottom w:val="none" w:sz="0" w:space="0" w:color="auto"/>
        <w:right w:val="none" w:sz="0" w:space="0" w:color="auto"/>
      </w:divBdr>
      <w:divsChild>
        <w:div w:id="199049009">
          <w:marLeft w:val="0"/>
          <w:marRight w:val="0"/>
          <w:marTop w:val="0"/>
          <w:marBottom w:val="0"/>
          <w:divBdr>
            <w:top w:val="none" w:sz="0" w:space="0" w:color="auto"/>
            <w:left w:val="none" w:sz="0" w:space="0" w:color="auto"/>
            <w:bottom w:val="none" w:sz="0" w:space="0" w:color="auto"/>
            <w:right w:val="none" w:sz="0" w:space="0" w:color="auto"/>
          </w:divBdr>
        </w:div>
        <w:div w:id="181823267">
          <w:marLeft w:val="0"/>
          <w:marRight w:val="0"/>
          <w:marTop w:val="0"/>
          <w:marBottom w:val="0"/>
          <w:divBdr>
            <w:top w:val="none" w:sz="0" w:space="0" w:color="auto"/>
            <w:left w:val="none" w:sz="0" w:space="0" w:color="auto"/>
            <w:bottom w:val="none" w:sz="0" w:space="0" w:color="auto"/>
            <w:right w:val="none" w:sz="0" w:space="0" w:color="auto"/>
          </w:divBdr>
        </w:div>
        <w:div w:id="1654868927">
          <w:marLeft w:val="0"/>
          <w:marRight w:val="0"/>
          <w:marTop w:val="0"/>
          <w:marBottom w:val="0"/>
          <w:divBdr>
            <w:top w:val="none" w:sz="0" w:space="0" w:color="auto"/>
            <w:left w:val="none" w:sz="0" w:space="0" w:color="auto"/>
            <w:bottom w:val="none" w:sz="0" w:space="0" w:color="auto"/>
            <w:right w:val="none" w:sz="0" w:space="0" w:color="auto"/>
          </w:divBdr>
        </w:div>
      </w:divsChild>
    </w:div>
    <w:div w:id="1904562913">
      <w:marLeft w:val="0"/>
      <w:marRight w:val="0"/>
      <w:marTop w:val="0"/>
      <w:marBottom w:val="0"/>
      <w:divBdr>
        <w:top w:val="none" w:sz="0" w:space="0" w:color="auto"/>
        <w:left w:val="none" w:sz="0" w:space="0" w:color="auto"/>
        <w:bottom w:val="none" w:sz="0" w:space="0" w:color="auto"/>
        <w:right w:val="none" w:sz="0" w:space="0" w:color="auto"/>
      </w:divBdr>
      <w:divsChild>
        <w:div w:id="989136574">
          <w:marLeft w:val="0"/>
          <w:marRight w:val="0"/>
          <w:marTop w:val="0"/>
          <w:marBottom w:val="0"/>
          <w:divBdr>
            <w:top w:val="none" w:sz="0" w:space="0" w:color="auto"/>
            <w:left w:val="none" w:sz="0" w:space="0" w:color="auto"/>
            <w:bottom w:val="none" w:sz="0" w:space="0" w:color="auto"/>
            <w:right w:val="none" w:sz="0" w:space="0" w:color="auto"/>
          </w:divBdr>
        </w:div>
        <w:div w:id="605963329">
          <w:marLeft w:val="0"/>
          <w:marRight w:val="0"/>
          <w:marTop w:val="0"/>
          <w:marBottom w:val="0"/>
          <w:divBdr>
            <w:top w:val="none" w:sz="0" w:space="0" w:color="auto"/>
            <w:left w:val="none" w:sz="0" w:space="0" w:color="auto"/>
            <w:bottom w:val="none" w:sz="0" w:space="0" w:color="auto"/>
            <w:right w:val="none" w:sz="0" w:space="0" w:color="auto"/>
          </w:divBdr>
        </w:div>
        <w:div w:id="777027476">
          <w:marLeft w:val="0"/>
          <w:marRight w:val="0"/>
          <w:marTop w:val="0"/>
          <w:marBottom w:val="0"/>
          <w:divBdr>
            <w:top w:val="none" w:sz="0" w:space="0" w:color="auto"/>
            <w:left w:val="none" w:sz="0" w:space="0" w:color="auto"/>
            <w:bottom w:val="none" w:sz="0" w:space="0" w:color="auto"/>
            <w:right w:val="none" w:sz="0" w:space="0" w:color="auto"/>
          </w:divBdr>
        </w:div>
      </w:divsChild>
    </w:div>
    <w:div w:id="1911033591">
      <w:bodyDiv w:val="1"/>
      <w:marLeft w:val="0"/>
      <w:marRight w:val="0"/>
      <w:marTop w:val="0"/>
      <w:marBottom w:val="0"/>
      <w:divBdr>
        <w:top w:val="none" w:sz="0" w:space="0" w:color="auto"/>
        <w:left w:val="none" w:sz="0" w:space="0" w:color="auto"/>
        <w:bottom w:val="none" w:sz="0" w:space="0" w:color="auto"/>
        <w:right w:val="none" w:sz="0" w:space="0" w:color="auto"/>
      </w:divBdr>
      <w:divsChild>
        <w:div w:id="210464201">
          <w:marLeft w:val="0"/>
          <w:marRight w:val="0"/>
          <w:marTop w:val="0"/>
          <w:marBottom w:val="0"/>
          <w:divBdr>
            <w:top w:val="none" w:sz="0" w:space="0" w:color="auto"/>
            <w:left w:val="none" w:sz="0" w:space="0" w:color="auto"/>
            <w:bottom w:val="none" w:sz="0" w:space="0" w:color="auto"/>
            <w:right w:val="none" w:sz="0" w:space="0" w:color="auto"/>
          </w:divBdr>
        </w:div>
        <w:div w:id="1011564356">
          <w:marLeft w:val="0"/>
          <w:marRight w:val="0"/>
          <w:marTop w:val="0"/>
          <w:marBottom w:val="0"/>
          <w:divBdr>
            <w:top w:val="none" w:sz="0" w:space="0" w:color="auto"/>
            <w:left w:val="none" w:sz="0" w:space="0" w:color="auto"/>
            <w:bottom w:val="none" w:sz="0" w:space="0" w:color="auto"/>
            <w:right w:val="none" w:sz="0" w:space="0" w:color="auto"/>
          </w:divBdr>
        </w:div>
        <w:div w:id="999968705">
          <w:marLeft w:val="0"/>
          <w:marRight w:val="0"/>
          <w:marTop w:val="0"/>
          <w:marBottom w:val="0"/>
          <w:divBdr>
            <w:top w:val="none" w:sz="0" w:space="0" w:color="auto"/>
            <w:left w:val="none" w:sz="0" w:space="0" w:color="auto"/>
            <w:bottom w:val="none" w:sz="0" w:space="0" w:color="auto"/>
            <w:right w:val="none" w:sz="0" w:space="0" w:color="auto"/>
          </w:divBdr>
        </w:div>
        <w:div w:id="523979891">
          <w:marLeft w:val="0"/>
          <w:marRight w:val="0"/>
          <w:marTop w:val="0"/>
          <w:marBottom w:val="0"/>
          <w:divBdr>
            <w:top w:val="none" w:sz="0" w:space="0" w:color="auto"/>
            <w:left w:val="none" w:sz="0" w:space="0" w:color="auto"/>
            <w:bottom w:val="none" w:sz="0" w:space="0" w:color="auto"/>
            <w:right w:val="none" w:sz="0" w:space="0" w:color="auto"/>
          </w:divBdr>
        </w:div>
      </w:divsChild>
    </w:div>
    <w:div w:id="1935432616">
      <w:bodyDiv w:val="1"/>
      <w:marLeft w:val="0"/>
      <w:marRight w:val="0"/>
      <w:marTop w:val="0"/>
      <w:marBottom w:val="0"/>
      <w:divBdr>
        <w:top w:val="none" w:sz="0" w:space="0" w:color="auto"/>
        <w:left w:val="none" w:sz="0" w:space="0" w:color="auto"/>
        <w:bottom w:val="none" w:sz="0" w:space="0" w:color="auto"/>
        <w:right w:val="none" w:sz="0" w:space="0" w:color="auto"/>
      </w:divBdr>
      <w:divsChild>
        <w:div w:id="1657299341">
          <w:marLeft w:val="0"/>
          <w:marRight w:val="0"/>
          <w:marTop w:val="0"/>
          <w:marBottom w:val="0"/>
          <w:divBdr>
            <w:top w:val="none" w:sz="0" w:space="0" w:color="auto"/>
            <w:left w:val="none" w:sz="0" w:space="0" w:color="auto"/>
            <w:bottom w:val="none" w:sz="0" w:space="0" w:color="auto"/>
            <w:right w:val="none" w:sz="0" w:space="0" w:color="auto"/>
          </w:divBdr>
        </w:div>
        <w:div w:id="1733309449">
          <w:marLeft w:val="0"/>
          <w:marRight w:val="0"/>
          <w:marTop w:val="0"/>
          <w:marBottom w:val="0"/>
          <w:divBdr>
            <w:top w:val="none" w:sz="0" w:space="0" w:color="auto"/>
            <w:left w:val="none" w:sz="0" w:space="0" w:color="auto"/>
            <w:bottom w:val="none" w:sz="0" w:space="0" w:color="auto"/>
            <w:right w:val="none" w:sz="0" w:space="0" w:color="auto"/>
          </w:divBdr>
        </w:div>
        <w:div w:id="385566291">
          <w:marLeft w:val="0"/>
          <w:marRight w:val="0"/>
          <w:marTop w:val="0"/>
          <w:marBottom w:val="0"/>
          <w:divBdr>
            <w:top w:val="none" w:sz="0" w:space="0" w:color="auto"/>
            <w:left w:val="none" w:sz="0" w:space="0" w:color="auto"/>
            <w:bottom w:val="none" w:sz="0" w:space="0" w:color="auto"/>
            <w:right w:val="none" w:sz="0" w:space="0" w:color="auto"/>
          </w:divBdr>
        </w:div>
        <w:div w:id="171770743">
          <w:marLeft w:val="0"/>
          <w:marRight w:val="0"/>
          <w:marTop w:val="0"/>
          <w:marBottom w:val="0"/>
          <w:divBdr>
            <w:top w:val="none" w:sz="0" w:space="0" w:color="auto"/>
            <w:left w:val="none" w:sz="0" w:space="0" w:color="auto"/>
            <w:bottom w:val="none" w:sz="0" w:space="0" w:color="auto"/>
            <w:right w:val="none" w:sz="0" w:space="0" w:color="auto"/>
          </w:divBdr>
        </w:div>
      </w:divsChild>
    </w:div>
    <w:div w:id="1984963779">
      <w:bodyDiv w:val="1"/>
      <w:marLeft w:val="0"/>
      <w:marRight w:val="0"/>
      <w:marTop w:val="0"/>
      <w:marBottom w:val="0"/>
      <w:divBdr>
        <w:top w:val="none" w:sz="0" w:space="0" w:color="auto"/>
        <w:left w:val="none" w:sz="0" w:space="0" w:color="auto"/>
        <w:bottom w:val="none" w:sz="0" w:space="0" w:color="auto"/>
        <w:right w:val="none" w:sz="0" w:space="0" w:color="auto"/>
      </w:divBdr>
      <w:divsChild>
        <w:div w:id="1835484249">
          <w:marLeft w:val="0"/>
          <w:marRight w:val="0"/>
          <w:marTop w:val="0"/>
          <w:marBottom w:val="0"/>
          <w:divBdr>
            <w:top w:val="none" w:sz="0" w:space="0" w:color="auto"/>
            <w:left w:val="none" w:sz="0" w:space="0" w:color="auto"/>
            <w:bottom w:val="none" w:sz="0" w:space="0" w:color="auto"/>
            <w:right w:val="none" w:sz="0" w:space="0" w:color="auto"/>
          </w:divBdr>
        </w:div>
        <w:div w:id="473105851">
          <w:marLeft w:val="0"/>
          <w:marRight w:val="0"/>
          <w:marTop w:val="0"/>
          <w:marBottom w:val="0"/>
          <w:divBdr>
            <w:top w:val="none" w:sz="0" w:space="0" w:color="auto"/>
            <w:left w:val="none" w:sz="0" w:space="0" w:color="auto"/>
            <w:bottom w:val="none" w:sz="0" w:space="0" w:color="auto"/>
            <w:right w:val="none" w:sz="0" w:space="0" w:color="auto"/>
          </w:divBdr>
        </w:div>
        <w:div w:id="1719360599">
          <w:marLeft w:val="0"/>
          <w:marRight w:val="0"/>
          <w:marTop w:val="0"/>
          <w:marBottom w:val="0"/>
          <w:divBdr>
            <w:top w:val="none" w:sz="0" w:space="0" w:color="auto"/>
            <w:left w:val="none" w:sz="0" w:space="0" w:color="auto"/>
            <w:bottom w:val="none" w:sz="0" w:space="0" w:color="auto"/>
            <w:right w:val="none" w:sz="0" w:space="0" w:color="auto"/>
          </w:divBdr>
        </w:div>
        <w:div w:id="287205096">
          <w:marLeft w:val="0"/>
          <w:marRight w:val="0"/>
          <w:marTop w:val="0"/>
          <w:marBottom w:val="0"/>
          <w:divBdr>
            <w:top w:val="none" w:sz="0" w:space="0" w:color="auto"/>
            <w:left w:val="none" w:sz="0" w:space="0" w:color="auto"/>
            <w:bottom w:val="none" w:sz="0" w:space="0" w:color="auto"/>
            <w:right w:val="none" w:sz="0" w:space="0" w:color="auto"/>
          </w:divBdr>
        </w:div>
      </w:divsChild>
    </w:div>
    <w:div w:id="1995184742">
      <w:bodyDiv w:val="1"/>
      <w:marLeft w:val="0"/>
      <w:marRight w:val="0"/>
      <w:marTop w:val="0"/>
      <w:marBottom w:val="0"/>
      <w:divBdr>
        <w:top w:val="none" w:sz="0" w:space="0" w:color="auto"/>
        <w:left w:val="none" w:sz="0" w:space="0" w:color="auto"/>
        <w:bottom w:val="none" w:sz="0" w:space="0" w:color="auto"/>
        <w:right w:val="none" w:sz="0" w:space="0" w:color="auto"/>
      </w:divBdr>
      <w:divsChild>
        <w:div w:id="496846732">
          <w:marLeft w:val="0"/>
          <w:marRight w:val="0"/>
          <w:marTop w:val="0"/>
          <w:marBottom w:val="0"/>
          <w:divBdr>
            <w:top w:val="none" w:sz="0" w:space="0" w:color="auto"/>
            <w:left w:val="none" w:sz="0" w:space="0" w:color="auto"/>
            <w:bottom w:val="none" w:sz="0" w:space="0" w:color="auto"/>
            <w:right w:val="none" w:sz="0" w:space="0" w:color="auto"/>
          </w:divBdr>
        </w:div>
        <w:div w:id="1791708477">
          <w:marLeft w:val="0"/>
          <w:marRight w:val="0"/>
          <w:marTop w:val="0"/>
          <w:marBottom w:val="0"/>
          <w:divBdr>
            <w:top w:val="none" w:sz="0" w:space="0" w:color="auto"/>
            <w:left w:val="none" w:sz="0" w:space="0" w:color="auto"/>
            <w:bottom w:val="none" w:sz="0" w:space="0" w:color="auto"/>
            <w:right w:val="none" w:sz="0" w:space="0" w:color="auto"/>
          </w:divBdr>
        </w:div>
        <w:div w:id="14549656">
          <w:marLeft w:val="0"/>
          <w:marRight w:val="0"/>
          <w:marTop w:val="0"/>
          <w:marBottom w:val="0"/>
          <w:divBdr>
            <w:top w:val="none" w:sz="0" w:space="0" w:color="auto"/>
            <w:left w:val="none" w:sz="0" w:space="0" w:color="auto"/>
            <w:bottom w:val="none" w:sz="0" w:space="0" w:color="auto"/>
            <w:right w:val="none" w:sz="0" w:space="0" w:color="auto"/>
          </w:divBdr>
        </w:div>
        <w:div w:id="986933025">
          <w:marLeft w:val="0"/>
          <w:marRight w:val="0"/>
          <w:marTop w:val="0"/>
          <w:marBottom w:val="0"/>
          <w:divBdr>
            <w:top w:val="none" w:sz="0" w:space="0" w:color="auto"/>
            <w:left w:val="none" w:sz="0" w:space="0" w:color="auto"/>
            <w:bottom w:val="none" w:sz="0" w:space="0" w:color="auto"/>
            <w:right w:val="none" w:sz="0" w:space="0" w:color="auto"/>
          </w:divBdr>
        </w:div>
      </w:divsChild>
    </w:div>
    <w:div w:id="2046364383">
      <w:bodyDiv w:val="1"/>
      <w:marLeft w:val="0"/>
      <w:marRight w:val="0"/>
      <w:marTop w:val="0"/>
      <w:marBottom w:val="0"/>
      <w:divBdr>
        <w:top w:val="none" w:sz="0" w:space="0" w:color="auto"/>
        <w:left w:val="none" w:sz="0" w:space="0" w:color="auto"/>
        <w:bottom w:val="none" w:sz="0" w:space="0" w:color="auto"/>
        <w:right w:val="none" w:sz="0" w:space="0" w:color="auto"/>
      </w:divBdr>
      <w:divsChild>
        <w:div w:id="416366356">
          <w:marLeft w:val="0"/>
          <w:marRight w:val="0"/>
          <w:marTop w:val="0"/>
          <w:marBottom w:val="0"/>
          <w:divBdr>
            <w:top w:val="none" w:sz="0" w:space="0" w:color="auto"/>
            <w:left w:val="none" w:sz="0" w:space="0" w:color="auto"/>
            <w:bottom w:val="none" w:sz="0" w:space="0" w:color="auto"/>
            <w:right w:val="none" w:sz="0" w:space="0" w:color="auto"/>
          </w:divBdr>
        </w:div>
        <w:div w:id="1178959114">
          <w:marLeft w:val="0"/>
          <w:marRight w:val="0"/>
          <w:marTop w:val="0"/>
          <w:marBottom w:val="0"/>
          <w:divBdr>
            <w:top w:val="none" w:sz="0" w:space="0" w:color="auto"/>
            <w:left w:val="none" w:sz="0" w:space="0" w:color="auto"/>
            <w:bottom w:val="none" w:sz="0" w:space="0" w:color="auto"/>
            <w:right w:val="none" w:sz="0" w:space="0" w:color="auto"/>
          </w:divBdr>
        </w:div>
        <w:div w:id="1537309153">
          <w:marLeft w:val="0"/>
          <w:marRight w:val="0"/>
          <w:marTop w:val="0"/>
          <w:marBottom w:val="0"/>
          <w:divBdr>
            <w:top w:val="none" w:sz="0" w:space="0" w:color="auto"/>
            <w:left w:val="none" w:sz="0" w:space="0" w:color="auto"/>
            <w:bottom w:val="none" w:sz="0" w:space="0" w:color="auto"/>
            <w:right w:val="none" w:sz="0" w:space="0" w:color="auto"/>
          </w:divBdr>
        </w:div>
        <w:div w:id="1762481902">
          <w:marLeft w:val="0"/>
          <w:marRight w:val="0"/>
          <w:marTop w:val="0"/>
          <w:marBottom w:val="0"/>
          <w:divBdr>
            <w:top w:val="none" w:sz="0" w:space="0" w:color="auto"/>
            <w:left w:val="none" w:sz="0" w:space="0" w:color="auto"/>
            <w:bottom w:val="none" w:sz="0" w:space="0" w:color="auto"/>
            <w:right w:val="none" w:sz="0" w:space="0" w:color="auto"/>
          </w:divBdr>
        </w:div>
      </w:divsChild>
    </w:div>
    <w:div w:id="2137024593">
      <w:bodyDiv w:val="1"/>
      <w:marLeft w:val="0"/>
      <w:marRight w:val="0"/>
      <w:marTop w:val="0"/>
      <w:marBottom w:val="0"/>
      <w:divBdr>
        <w:top w:val="none" w:sz="0" w:space="0" w:color="auto"/>
        <w:left w:val="none" w:sz="0" w:space="0" w:color="auto"/>
        <w:bottom w:val="none" w:sz="0" w:space="0" w:color="auto"/>
        <w:right w:val="none" w:sz="0" w:space="0" w:color="auto"/>
      </w:divBdr>
      <w:divsChild>
        <w:div w:id="1945572862">
          <w:marLeft w:val="0"/>
          <w:marRight w:val="0"/>
          <w:marTop w:val="0"/>
          <w:marBottom w:val="0"/>
          <w:divBdr>
            <w:top w:val="none" w:sz="0" w:space="0" w:color="auto"/>
            <w:left w:val="none" w:sz="0" w:space="0" w:color="auto"/>
            <w:bottom w:val="none" w:sz="0" w:space="0" w:color="auto"/>
            <w:right w:val="none" w:sz="0" w:space="0" w:color="auto"/>
          </w:divBdr>
        </w:div>
        <w:div w:id="1848860922">
          <w:marLeft w:val="0"/>
          <w:marRight w:val="0"/>
          <w:marTop w:val="0"/>
          <w:marBottom w:val="0"/>
          <w:divBdr>
            <w:top w:val="none" w:sz="0" w:space="0" w:color="auto"/>
            <w:left w:val="none" w:sz="0" w:space="0" w:color="auto"/>
            <w:bottom w:val="none" w:sz="0" w:space="0" w:color="auto"/>
            <w:right w:val="none" w:sz="0" w:space="0" w:color="auto"/>
          </w:divBdr>
        </w:div>
        <w:div w:id="1439255053">
          <w:marLeft w:val="0"/>
          <w:marRight w:val="0"/>
          <w:marTop w:val="0"/>
          <w:marBottom w:val="0"/>
          <w:divBdr>
            <w:top w:val="none" w:sz="0" w:space="0" w:color="auto"/>
            <w:left w:val="none" w:sz="0" w:space="0" w:color="auto"/>
            <w:bottom w:val="none" w:sz="0" w:space="0" w:color="auto"/>
            <w:right w:val="none" w:sz="0" w:space="0" w:color="auto"/>
          </w:divBdr>
        </w:div>
        <w:div w:id="10445203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sbandr\AppData\Roaming\Microsoft\Templates\iucrpubltools_w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iucr:publsections xmlns:iucr="http://www.iucr.org/publsections">
  <synopsis/>
  <abstract>Westrip</abstract>
</iucr:publsections>
</file>

<file path=customXml/item2.xml><?xml version="1.0" encoding="utf-8"?>
<b:Sources xmlns:b="http://schemas.openxmlformats.org/officeDocument/2006/bibliography" xmlns="http://schemas.openxmlformats.org/officeDocument/2006/bibliography" SelectedStyle="\HarvardIUCr.XSL" StyleName="IUCr Journals*"/>
</file>

<file path=customXml/itemProps1.xml><?xml version="1.0" encoding="utf-8"?>
<ds:datastoreItem xmlns:ds="http://schemas.openxmlformats.org/officeDocument/2006/customXml" ds:itemID="{21A7AC5C-F356-4DE3-A894-94C718B5FE3F}">
  <ds:schemaRefs>
    <ds:schemaRef ds:uri="http://www.iucr.org/publsections"/>
  </ds:schemaRefs>
</ds:datastoreItem>
</file>

<file path=customXml/itemProps2.xml><?xml version="1.0" encoding="utf-8"?>
<ds:datastoreItem xmlns:ds="http://schemas.openxmlformats.org/officeDocument/2006/customXml" ds:itemID="{0DAFC5EC-E6AF-4F69-A618-4F89627F4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iucrpubltools_wm.dotm</Template>
  <TotalTime>0</TotalTime>
  <Pages>32</Pages>
  <Words>57396</Words>
  <Characters>327162</Characters>
  <Application>Microsoft Office Word</Application>
  <DocSecurity>0</DocSecurity>
  <Lines>2726</Lines>
  <Paragraphs>767</Paragraphs>
  <ScaleCrop>false</ScaleCrop>
  <HeadingPairs>
    <vt:vector size="2" baseType="variant">
      <vt:variant>
        <vt:lpstr>Title</vt:lpstr>
      </vt:variant>
      <vt:variant>
        <vt:i4>1</vt:i4>
      </vt:variant>
    </vt:vector>
  </HeadingPairs>
  <TitlesOfParts>
    <vt:vector size="1" baseType="lpstr">
      <vt:lpstr>_x000d_</vt:lpstr>
    </vt:vector>
  </TitlesOfParts>
  <Company/>
  <LinksUpToDate>false</LinksUpToDate>
  <CharactersWithSpaces>383791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_x000d_</dc:title>
  <dc:subject/>
  <dc:creator>Husband, Rachel</dc:creator>
  <cp:keywords/>
  <dc:description/>
  <cp:lastModifiedBy>Husband, Rachel</cp:lastModifiedBy>
  <cp:revision>4</cp:revision>
  <dcterms:created xsi:type="dcterms:W3CDTF">2023-04-29T04:09:00Z</dcterms:created>
  <dcterms:modified xsi:type="dcterms:W3CDTF">2023-04-29T04:11:00Z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zotero-version="5.0.58"&gt;&lt;session id="GMxW0Csb"/&gt;&lt;style id="http://www.zotero.org/styles/journal-of-synchrotron-radiation" hasBibliography="1" bibliographyStyleHasBeenSet="1"/&gt;&lt;prefs&gt;&lt;pref name="fieldType" value="Field"/&gt;&lt;/prefs&gt;&lt;/da</vt:lpwstr>
  </property>
  <property fmtid="{D5CDD505-2E9C-101B-9397-08002B2CF9AE}" pid="3" name="ZOTERO_PREF_2">
    <vt:lpwstr>ta&gt;</vt:lpwstr>
  </property>
</Properties>
</file>