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65" w:rsidRPr="007F5A39" w:rsidRDefault="007F5A39" w:rsidP="007F5A39">
      <w:pPr>
        <w:pStyle w:val="Titre1"/>
      </w:pPr>
      <w:r>
        <w:t xml:space="preserve">Industrialization of </w:t>
      </w:r>
      <w:r w:rsidR="00B3451C">
        <w:t xml:space="preserve">European </w:t>
      </w:r>
      <w:r>
        <w:t>XFEL preparation cycle “BCP flash” at E</w:t>
      </w:r>
      <w:r w:rsidR="000728D4">
        <w:t xml:space="preserve">ttore </w:t>
      </w:r>
      <w:r>
        <w:t>Zanon Company</w:t>
      </w:r>
    </w:p>
    <w:p w:rsidR="007F5A39" w:rsidRPr="00AA5C9C" w:rsidRDefault="004A4380" w:rsidP="004A4380">
      <w:pPr>
        <w:pStyle w:val="AuthorList"/>
        <w:ind w:left="720"/>
        <w:rPr>
          <w:kern w:val="16"/>
        </w:rPr>
      </w:pPr>
      <w:r>
        <w:rPr>
          <w:kern w:val="16"/>
        </w:rPr>
        <w:t xml:space="preserve">A. </w:t>
      </w:r>
      <w:proofErr w:type="spellStart"/>
      <w:r w:rsidR="007F5A39" w:rsidRPr="00AA5C9C">
        <w:rPr>
          <w:kern w:val="16"/>
        </w:rPr>
        <w:t>Matheisen</w:t>
      </w:r>
      <w:proofErr w:type="spellEnd"/>
      <w:r w:rsidR="00691F2F" w:rsidRPr="00AA5C9C">
        <w:rPr>
          <w:kern w:val="16"/>
        </w:rPr>
        <w:t>,</w:t>
      </w:r>
      <w:r w:rsidR="007F5A39" w:rsidRPr="00AA5C9C">
        <w:rPr>
          <w:kern w:val="16"/>
        </w:rPr>
        <w:t xml:space="preserve"> </w:t>
      </w:r>
      <w:proofErr w:type="spellStart"/>
      <w:r w:rsidR="007F5A39" w:rsidRPr="00AA5C9C">
        <w:rPr>
          <w:kern w:val="16"/>
        </w:rPr>
        <w:t>B.v.d</w:t>
      </w:r>
      <w:proofErr w:type="spellEnd"/>
      <w:r w:rsidR="007F5A39" w:rsidRPr="00AA5C9C">
        <w:rPr>
          <w:kern w:val="16"/>
        </w:rPr>
        <w:t>.</w:t>
      </w:r>
      <w:r w:rsidR="0013477F">
        <w:rPr>
          <w:kern w:val="16"/>
        </w:rPr>
        <w:t xml:space="preserve"> </w:t>
      </w:r>
      <w:r w:rsidR="007F5A39" w:rsidRPr="00AA5C9C">
        <w:rPr>
          <w:kern w:val="16"/>
        </w:rPr>
        <w:t>Horst</w:t>
      </w:r>
      <w:r w:rsidR="00691F2F" w:rsidRPr="00AA5C9C">
        <w:rPr>
          <w:kern w:val="16"/>
        </w:rPr>
        <w:t>,</w:t>
      </w:r>
      <w:r w:rsidR="007F5A39" w:rsidRPr="00AA5C9C">
        <w:rPr>
          <w:kern w:val="16"/>
        </w:rPr>
        <w:t xml:space="preserve"> N.</w:t>
      </w:r>
      <w:r w:rsidR="0013477F">
        <w:rPr>
          <w:kern w:val="16"/>
        </w:rPr>
        <w:t xml:space="preserve"> </w:t>
      </w:r>
      <w:proofErr w:type="spellStart"/>
      <w:r w:rsidR="007F5A39" w:rsidRPr="00AA5C9C">
        <w:rPr>
          <w:kern w:val="16"/>
        </w:rPr>
        <w:t>Krupka</w:t>
      </w:r>
      <w:proofErr w:type="spellEnd"/>
      <w:r w:rsidR="00691F2F" w:rsidRPr="00AA5C9C">
        <w:rPr>
          <w:kern w:val="16"/>
        </w:rPr>
        <w:t>,</w:t>
      </w:r>
      <w:r w:rsidR="007F5A39" w:rsidRPr="00AA5C9C">
        <w:rPr>
          <w:kern w:val="16"/>
        </w:rPr>
        <w:t xml:space="preserve"> M.</w:t>
      </w:r>
      <w:r w:rsidR="0013477F">
        <w:rPr>
          <w:kern w:val="16"/>
        </w:rPr>
        <w:t xml:space="preserve"> </w:t>
      </w:r>
      <w:proofErr w:type="spellStart"/>
      <w:r w:rsidR="007F5A39" w:rsidRPr="00AA5C9C">
        <w:rPr>
          <w:kern w:val="16"/>
        </w:rPr>
        <w:t>Schalwat</w:t>
      </w:r>
      <w:proofErr w:type="spellEnd"/>
      <w:r w:rsidR="00691F2F" w:rsidRPr="00AA5C9C">
        <w:rPr>
          <w:kern w:val="16"/>
        </w:rPr>
        <w:t>,</w:t>
      </w:r>
      <w:r w:rsidR="007F5A39" w:rsidRPr="00AA5C9C">
        <w:rPr>
          <w:kern w:val="16"/>
        </w:rPr>
        <w:t xml:space="preserve"> N.</w:t>
      </w:r>
      <w:r w:rsidR="0013477F">
        <w:rPr>
          <w:kern w:val="16"/>
        </w:rPr>
        <w:t xml:space="preserve"> </w:t>
      </w:r>
      <w:proofErr w:type="spellStart"/>
      <w:r w:rsidR="007F5A39" w:rsidRPr="00AA5C9C">
        <w:rPr>
          <w:kern w:val="16"/>
        </w:rPr>
        <w:t>Steinhau-Kühl</w:t>
      </w:r>
      <w:proofErr w:type="spellEnd"/>
      <w:r w:rsidR="00691F2F" w:rsidRPr="00AA5C9C">
        <w:rPr>
          <w:kern w:val="16"/>
        </w:rPr>
        <w:t>,</w:t>
      </w:r>
      <w:r w:rsidR="007F5A39" w:rsidRPr="00AA5C9C">
        <w:rPr>
          <w:kern w:val="16"/>
        </w:rPr>
        <w:t xml:space="preserve"> A.</w:t>
      </w:r>
      <w:r w:rsidR="0013477F">
        <w:rPr>
          <w:kern w:val="16"/>
        </w:rPr>
        <w:t xml:space="preserve"> </w:t>
      </w:r>
      <w:r w:rsidR="007F5A39" w:rsidRPr="00AA5C9C">
        <w:rPr>
          <w:kern w:val="16"/>
        </w:rPr>
        <w:t>Schmidt</w:t>
      </w:r>
      <w:r w:rsidR="00691F2F" w:rsidRPr="00AA5C9C">
        <w:rPr>
          <w:kern w:val="16"/>
        </w:rPr>
        <w:t xml:space="preserve">, </w:t>
      </w:r>
      <w:r w:rsidR="007F5A39" w:rsidRPr="00AA5C9C">
        <w:rPr>
          <w:kern w:val="16"/>
        </w:rPr>
        <w:t>W.</w:t>
      </w:r>
      <w:r>
        <w:rPr>
          <w:kern w:val="16"/>
        </w:rPr>
        <w:t> </w:t>
      </w:r>
      <w:r w:rsidR="007F5A39" w:rsidRPr="00AA5C9C">
        <w:rPr>
          <w:kern w:val="16"/>
        </w:rPr>
        <w:t>Singer</w:t>
      </w:r>
      <w:r w:rsidR="00691F2F" w:rsidRPr="00AA5C9C">
        <w:rPr>
          <w:kern w:val="16"/>
        </w:rPr>
        <w:t xml:space="preserve">, DESY Hamburg, </w:t>
      </w:r>
      <w:proofErr w:type="spellStart"/>
      <w:r w:rsidR="00691F2F" w:rsidRPr="00AA5C9C">
        <w:rPr>
          <w:kern w:val="16"/>
        </w:rPr>
        <w:t>Notkestrasse</w:t>
      </w:r>
      <w:proofErr w:type="spellEnd"/>
      <w:r w:rsidR="00691F2F" w:rsidRPr="00AA5C9C">
        <w:rPr>
          <w:kern w:val="16"/>
        </w:rPr>
        <w:t xml:space="preserve"> 86, D22607 Hamburg, Germany</w:t>
      </w:r>
      <w:r w:rsidR="00EF63DE" w:rsidRPr="00EF63DE">
        <w:rPr>
          <w:kern w:val="16"/>
        </w:rPr>
        <w:br/>
      </w:r>
      <w:r w:rsidR="007F5A39" w:rsidRPr="00AA5C9C">
        <w:rPr>
          <w:kern w:val="16"/>
        </w:rPr>
        <w:t>P.</w:t>
      </w:r>
      <w:r w:rsidR="0013477F">
        <w:rPr>
          <w:kern w:val="16"/>
        </w:rPr>
        <w:t xml:space="preserve"> </w:t>
      </w:r>
      <w:proofErr w:type="spellStart"/>
      <w:r w:rsidR="007F5A39" w:rsidRPr="00AA5C9C">
        <w:rPr>
          <w:kern w:val="16"/>
        </w:rPr>
        <w:t>Michelato</w:t>
      </w:r>
      <w:proofErr w:type="spellEnd"/>
      <w:r w:rsidR="00691F2F" w:rsidRPr="00AA5C9C">
        <w:rPr>
          <w:kern w:val="16"/>
        </w:rPr>
        <w:t>,</w:t>
      </w:r>
      <w:r w:rsidR="00B270B3" w:rsidRPr="00AA5C9C">
        <w:rPr>
          <w:kern w:val="16"/>
        </w:rPr>
        <w:t xml:space="preserve"> </w:t>
      </w:r>
      <w:r w:rsidR="007F5A39" w:rsidRPr="00AA5C9C">
        <w:rPr>
          <w:kern w:val="16"/>
        </w:rPr>
        <w:t>L. Monaco</w:t>
      </w:r>
      <w:r w:rsidR="00691F2F" w:rsidRPr="00AA5C9C">
        <w:rPr>
          <w:kern w:val="16"/>
        </w:rPr>
        <w:t xml:space="preserve">, INFN Milano – LASA, Via </w:t>
      </w:r>
      <w:proofErr w:type="spellStart"/>
      <w:r w:rsidR="00691F2F" w:rsidRPr="00AA5C9C">
        <w:rPr>
          <w:kern w:val="16"/>
        </w:rPr>
        <w:t>Fratelli</w:t>
      </w:r>
      <w:proofErr w:type="spellEnd"/>
      <w:r w:rsidR="00691F2F" w:rsidRPr="00AA5C9C">
        <w:rPr>
          <w:kern w:val="16"/>
        </w:rPr>
        <w:t xml:space="preserve"> </w:t>
      </w:r>
      <w:proofErr w:type="spellStart"/>
      <w:r w:rsidR="00691F2F" w:rsidRPr="00AA5C9C">
        <w:rPr>
          <w:kern w:val="16"/>
        </w:rPr>
        <w:t>Cervi</w:t>
      </w:r>
      <w:proofErr w:type="spellEnd"/>
      <w:r w:rsidR="00691F2F" w:rsidRPr="00AA5C9C">
        <w:rPr>
          <w:kern w:val="16"/>
        </w:rPr>
        <w:t xml:space="preserve"> 201, 20090 </w:t>
      </w:r>
      <w:proofErr w:type="spellStart"/>
      <w:r w:rsidR="00691F2F" w:rsidRPr="00AA5C9C">
        <w:rPr>
          <w:kern w:val="16"/>
        </w:rPr>
        <w:t>Segrate</w:t>
      </w:r>
      <w:proofErr w:type="spellEnd"/>
      <w:r w:rsidR="00691F2F" w:rsidRPr="00AA5C9C">
        <w:rPr>
          <w:kern w:val="16"/>
        </w:rPr>
        <w:t>, Milano, Italy</w:t>
      </w:r>
      <w:r w:rsidR="00EF63DE" w:rsidRPr="004A4380">
        <w:rPr>
          <w:kern w:val="16"/>
        </w:rPr>
        <w:br/>
      </w:r>
      <w:r w:rsidR="007F5A39" w:rsidRPr="00AA5C9C">
        <w:rPr>
          <w:kern w:val="16"/>
        </w:rPr>
        <w:t>G.</w:t>
      </w:r>
      <w:r w:rsidR="0013477F">
        <w:rPr>
          <w:kern w:val="16"/>
        </w:rPr>
        <w:t xml:space="preserve"> </w:t>
      </w:r>
      <w:proofErr w:type="spellStart"/>
      <w:r w:rsidR="007F5A39" w:rsidRPr="00AA5C9C">
        <w:rPr>
          <w:kern w:val="16"/>
        </w:rPr>
        <w:t>Corniani</w:t>
      </w:r>
      <w:proofErr w:type="spellEnd"/>
      <w:r w:rsidR="00691F2F" w:rsidRPr="00AA5C9C">
        <w:rPr>
          <w:kern w:val="16"/>
        </w:rPr>
        <w:t xml:space="preserve">, </w:t>
      </w:r>
      <w:proofErr w:type="spellStart"/>
      <w:r w:rsidR="00C14330" w:rsidRPr="00AA5C9C">
        <w:rPr>
          <w:kern w:val="16"/>
        </w:rPr>
        <w:t>Ettore</w:t>
      </w:r>
      <w:proofErr w:type="spellEnd"/>
      <w:r w:rsidR="00C14330" w:rsidRPr="00AA5C9C">
        <w:rPr>
          <w:kern w:val="16"/>
        </w:rPr>
        <w:t xml:space="preserve"> </w:t>
      </w:r>
      <w:proofErr w:type="spellStart"/>
      <w:r w:rsidR="00C14330" w:rsidRPr="00AA5C9C">
        <w:rPr>
          <w:kern w:val="16"/>
        </w:rPr>
        <w:t>Zanon</w:t>
      </w:r>
      <w:proofErr w:type="spellEnd"/>
      <w:r w:rsidR="00C14330" w:rsidRPr="00AA5C9C">
        <w:rPr>
          <w:kern w:val="16"/>
        </w:rPr>
        <w:t xml:space="preserve"> </w:t>
      </w:r>
      <w:proofErr w:type="spellStart"/>
      <w:r w:rsidR="00C14330" w:rsidRPr="00AA5C9C">
        <w:rPr>
          <w:kern w:val="16"/>
        </w:rPr>
        <w:t>S.p.</w:t>
      </w:r>
      <w:r w:rsidR="007F5A39" w:rsidRPr="00AA5C9C">
        <w:rPr>
          <w:kern w:val="16"/>
        </w:rPr>
        <w:t>A</w:t>
      </w:r>
      <w:proofErr w:type="spellEnd"/>
      <w:r w:rsidR="00AE156C" w:rsidRPr="00AA5C9C">
        <w:rPr>
          <w:kern w:val="16"/>
        </w:rPr>
        <w:t>.</w:t>
      </w:r>
      <w:r w:rsidR="00691F2F" w:rsidRPr="00AA5C9C">
        <w:rPr>
          <w:kern w:val="16"/>
        </w:rPr>
        <w:t>,</w:t>
      </w:r>
      <w:r w:rsidR="00C14330" w:rsidRPr="00AA5C9C">
        <w:rPr>
          <w:kern w:val="16"/>
        </w:rPr>
        <w:t xml:space="preserve"> Via Vicenza 113</w:t>
      </w:r>
      <w:r w:rsidR="00691F2F" w:rsidRPr="00AA5C9C">
        <w:rPr>
          <w:kern w:val="16"/>
        </w:rPr>
        <w:t>,</w:t>
      </w:r>
      <w:r w:rsidR="00C14330" w:rsidRPr="00AA5C9C">
        <w:rPr>
          <w:kern w:val="16"/>
        </w:rPr>
        <w:t xml:space="preserve"> 36015 </w:t>
      </w:r>
      <w:proofErr w:type="spellStart"/>
      <w:r w:rsidR="00C14330" w:rsidRPr="00AA5C9C">
        <w:rPr>
          <w:kern w:val="16"/>
        </w:rPr>
        <w:t>Schio</w:t>
      </w:r>
      <w:proofErr w:type="spellEnd"/>
      <w:r w:rsidR="00C14330" w:rsidRPr="00AA5C9C">
        <w:rPr>
          <w:kern w:val="16"/>
        </w:rPr>
        <w:t xml:space="preserve"> VI, Italy</w:t>
      </w:r>
    </w:p>
    <w:p w:rsidR="00165665" w:rsidRPr="00DF17D0" w:rsidRDefault="00165665" w:rsidP="00165665">
      <w:pPr>
        <w:pStyle w:val="AuthorList"/>
        <w:rPr>
          <w:kern w:val="16"/>
          <w:lang w:val="it-IT"/>
        </w:rPr>
        <w:sectPr w:rsidR="00165665" w:rsidRPr="00DF17D0" w:rsidSect="00074A20">
          <w:footnotePr>
            <w:pos w:val="beneathText"/>
            <w:numFmt w:val="chicago"/>
          </w:footnotePr>
          <w:endnotePr>
            <w:numFmt w:val="decimal"/>
          </w:endnotePr>
          <w:type w:val="continuous"/>
          <w:pgSz w:w="11907" w:h="16840" w:code="9"/>
          <w:pgMar w:top="2098" w:right="1134" w:bottom="1077" w:left="1134" w:header="1077" w:footer="1077" w:gutter="0"/>
          <w:cols w:space="720"/>
          <w:titlePg/>
          <w:docGrid w:linePitch="360"/>
        </w:sectPr>
      </w:pPr>
    </w:p>
    <w:p w:rsidR="00EF63DE" w:rsidRPr="00EF63DE" w:rsidRDefault="00165665" w:rsidP="00EF63DE">
      <w:pPr>
        <w:pStyle w:val="AbstractTitle"/>
        <w:rPr>
          <w:kern w:val="16"/>
        </w:rPr>
      </w:pPr>
      <w:r w:rsidRPr="00682DFC">
        <w:rPr>
          <w:kern w:val="16"/>
        </w:rPr>
        <w:lastRenderedPageBreak/>
        <w:t>Abstract</w:t>
      </w:r>
    </w:p>
    <w:p w:rsidR="00C612B7" w:rsidRDefault="00C612B7" w:rsidP="00EF63DE">
      <w:pPr>
        <w:pStyle w:val="BodyTextNoIndent"/>
        <w:ind w:firstLine="187"/>
      </w:pPr>
      <w:r>
        <w:t xml:space="preserve">In the Specification for XFEL Cavity preparation two different preparation sequences are presented. Ettore Zanon Company as one of the two companies contracted for XFEL cavity production and preparation has chosen the so called BCP flash cycle. To </w:t>
      </w:r>
      <w:r w:rsidR="00EF13D7">
        <w:t>fulfil</w:t>
      </w:r>
      <w:r>
        <w:t xml:space="preserve"> the requested work flow</w:t>
      </w:r>
      <w:r w:rsidR="00B3451C">
        <w:t>,</w:t>
      </w:r>
      <w:r>
        <w:t xml:space="preserve"> quality of infrastructure and processes, the company set up a complete new infrastructure in refurbished fabrication halls. The layout of the facility, set up of work flow of preparation and test results of resonators processed by </w:t>
      </w:r>
      <w:proofErr w:type="spellStart"/>
      <w:r>
        <w:t>E</w:t>
      </w:r>
      <w:r w:rsidR="00963B7F">
        <w:t>ttore</w:t>
      </w:r>
      <w:proofErr w:type="spellEnd"/>
      <w:r w:rsidR="00AA57DB">
        <w:t xml:space="preserve"> </w:t>
      </w:r>
      <w:proofErr w:type="spellStart"/>
      <w:r>
        <w:t>Zanon</w:t>
      </w:r>
      <w:proofErr w:type="spellEnd"/>
      <w:r>
        <w:t xml:space="preserve"> in their infrastructure will be reported.</w:t>
      </w:r>
    </w:p>
    <w:p w:rsidR="003314D6" w:rsidRDefault="007840DE" w:rsidP="00682DFC">
      <w:pPr>
        <w:pStyle w:val="Titre2"/>
        <w:spacing w:before="180"/>
      </w:pPr>
      <w:r w:rsidRPr="00682DFC">
        <w:rPr>
          <w:noProof/>
          <w:lang w:val="en-US"/>
        </w:rPr>
        <w:drawing>
          <wp:anchor distT="0" distB="0" distL="114300" distR="114300" simplePos="0" relativeHeight="251658240" behindDoc="0" locked="0" layoutInCell="1" allowOverlap="1" wp14:anchorId="5ABD440F" wp14:editId="29E8E4D1">
            <wp:simplePos x="0" y="0"/>
            <wp:positionH relativeFrom="column">
              <wp:posOffset>3150870</wp:posOffset>
            </wp:positionH>
            <wp:positionV relativeFrom="paragraph">
              <wp:posOffset>121285</wp:posOffset>
            </wp:positionV>
            <wp:extent cx="2891155" cy="1864360"/>
            <wp:effectExtent l="0" t="0" r="4445"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155" cy="1864360"/>
                    </a:xfrm>
                    <a:prstGeom prst="rect">
                      <a:avLst/>
                    </a:prstGeom>
                  </pic:spPr>
                </pic:pic>
              </a:graphicData>
            </a:graphic>
            <wp14:sizeRelH relativeFrom="page">
              <wp14:pctWidth>0</wp14:pctWidth>
            </wp14:sizeRelH>
            <wp14:sizeRelV relativeFrom="page">
              <wp14:pctHeight>0</wp14:pctHeight>
            </wp14:sizeRelV>
          </wp:anchor>
        </w:drawing>
      </w:r>
      <w:r w:rsidR="003314D6">
        <w:t>Introduction</w:t>
      </w:r>
    </w:p>
    <w:p w:rsidR="00AF0A1B" w:rsidRDefault="003314D6" w:rsidP="00371585">
      <w:pPr>
        <w:pStyle w:val="BodyTextNoIndent"/>
        <w:ind w:firstLine="187"/>
      </w:pPr>
      <w:r>
        <w:t xml:space="preserve">A total </w:t>
      </w:r>
      <w:r w:rsidRPr="00B5545D">
        <w:t>of 800 XFEL cavities an</w:t>
      </w:r>
      <w:r w:rsidR="00AF0A1B" w:rsidRPr="00B5545D">
        <w:t>d 24 High Grad resonators [</w:t>
      </w:r>
      <w:r w:rsidR="007C1014">
        <w:t>1</w:t>
      </w:r>
      <w:r w:rsidR="00AF0A1B" w:rsidRPr="00B5545D">
        <w:t>]</w:t>
      </w:r>
      <w:r w:rsidRPr="00B5545D">
        <w:t xml:space="preserve"> </w:t>
      </w:r>
      <w:r>
        <w:t xml:space="preserve">are ordered at Industry. </w:t>
      </w:r>
      <w:r w:rsidR="0022392B">
        <w:t xml:space="preserve">An order of 400 </w:t>
      </w:r>
      <w:r w:rsidR="00C86DB4">
        <w:t>XFE</w:t>
      </w:r>
      <w:r w:rsidR="00D928FF">
        <w:t>L</w:t>
      </w:r>
      <w:r w:rsidR="00C86DB4">
        <w:t xml:space="preserve"> </w:t>
      </w:r>
      <w:r w:rsidR="0022392B">
        <w:t xml:space="preserve">+12 </w:t>
      </w:r>
      <w:r w:rsidR="00C86DB4">
        <w:t xml:space="preserve">high grade </w:t>
      </w:r>
      <w:r w:rsidR="0022392B">
        <w:t>cavities is placed</w:t>
      </w:r>
      <w:r w:rsidR="00AF0A1B">
        <w:t xml:space="preserve"> </w:t>
      </w:r>
      <w:r w:rsidR="00C86DB4">
        <w:t xml:space="preserve">at </w:t>
      </w:r>
      <w:proofErr w:type="spellStart"/>
      <w:r w:rsidR="00AF0A1B">
        <w:t>E</w:t>
      </w:r>
      <w:r w:rsidR="00963B7F">
        <w:t>ttore</w:t>
      </w:r>
      <w:proofErr w:type="spellEnd"/>
      <w:r w:rsidR="00AF0A1B">
        <w:t xml:space="preserve"> </w:t>
      </w:r>
      <w:proofErr w:type="spellStart"/>
      <w:r>
        <w:t>Zanon</w:t>
      </w:r>
      <w:proofErr w:type="spellEnd"/>
      <w:r w:rsidR="00AF0A1B">
        <w:t xml:space="preserve"> </w:t>
      </w:r>
      <w:r>
        <w:t>(</w:t>
      </w:r>
      <w:r w:rsidR="00AF0A1B">
        <w:t>EZ)</w:t>
      </w:r>
      <w:r w:rsidR="0022392B">
        <w:t xml:space="preserve"> in Italy. </w:t>
      </w:r>
      <w:r w:rsidR="00AF0A1B">
        <w:t xml:space="preserve"> </w:t>
      </w:r>
      <w:r w:rsidR="0022392B">
        <w:t xml:space="preserve">The EZ </w:t>
      </w:r>
      <w:r w:rsidR="00AA57DB">
        <w:t>C</w:t>
      </w:r>
      <w:r w:rsidR="00DF17D0">
        <w:t>ompany</w:t>
      </w:r>
      <w:r w:rsidR="0022392B">
        <w:t xml:space="preserve"> decided to m</w:t>
      </w:r>
      <w:r w:rsidR="00B5545D">
        <w:t>ake</w:t>
      </w:r>
      <w:r w:rsidR="0022392B">
        <w:t xml:space="preserve"> </w:t>
      </w:r>
      <w:r>
        <w:t>us</w:t>
      </w:r>
      <w:r w:rsidR="00B5545D">
        <w:t>e</w:t>
      </w:r>
      <w:r>
        <w:t xml:space="preserve"> of the BCP flash preparation sequences to reach the </w:t>
      </w:r>
      <w:r w:rsidR="00B3451C">
        <w:t>c</w:t>
      </w:r>
      <w:r>
        <w:t>avity performance</w:t>
      </w:r>
      <w:r w:rsidR="0022392B">
        <w:t xml:space="preserve"> requested by DESY</w:t>
      </w:r>
      <w:r>
        <w:t xml:space="preserve">. </w:t>
      </w:r>
    </w:p>
    <w:p w:rsidR="003314D6" w:rsidRDefault="003314D6" w:rsidP="00371585">
      <w:pPr>
        <w:pStyle w:val="BodyTextNoIndent"/>
        <w:ind w:firstLine="187"/>
      </w:pPr>
      <w:r>
        <w:t xml:space="preserve">For this project the company </w:t>
      </w:r>
      <w:r w:rsidR="00B201AE">
        <w:t>had to extend</w:t>
      </w:r>
      <w:r>
        <w:t xml:space="preserve"> the existing infra</w:t>
      </w:r>
      <w:r w:rsidR="0022392B">
        <w:t>structure</w:t>
      </w:r>
      <w:r>
        <w:t xml:space="preserve"> </w:t>
      </w:r>
      <w:r w:rsidR="0022392B">
        <w:t>in a refurbished manufacturing hall [</w:t>
      </w:r>
      <w:r w:rsidR="007C1014">
        <w:t>2</w:t>
      </w:r>
      <w:r w:rsidR="0022392B">
        <w:t xml:space="preserve">] of </w:t>
      </w:r>
      <w:r w:rsidR="000955DC">
        <w:t>1200</w:t>
      </w:r>
      <w:r w:rsidR="0022392B">
        <w:t xml:space="preserve"> m2 (Fig</w:t>
      </w:r>
      <w:r w:rsidR="00CE6DBA">
        <w:t>ure</w:t>
      </w:r>
      <w:r w:rsidR="0022392B">
        <w:t xml:space="preserve"> 1) ground space and air quality of ISO 10 a</w:t>
      </w:r>
      <w:r>
        <w:t xml:space="preserve"> completely new infrastructure for cavity preparation is set up</w:t>
      </w:r>
      <w:r w:rsidR="0022392B">
        <w:t>,</w:t>
      </w:r>
      <w:r>
        <w:t xml:space="preserve"> </w:t>
      </w:r>
      <w:r w:rsidRPr="00E70DA6">
        <w:t xml:space="preserve">A cleanroom </w:t>
      </w:r>
      <w:r w:rsidR="002E17E6" w:rsidRPr="00E70DA6">
        <w:t>with</w:t>
      </w:r>
      <w:r w:rsidR="000955DC" w:rsidRPr="00E70DA6">
        <w:t>160</w:t>
      </w:r>
      <w:r w:rsidR="002E17E6" w:rsidRPr="00E70DA6">
        <w:t xml:space="preserve"> m2 </w:t>
      </w:r>
      <w:r w:rsidRPr="00E70DA6">
        <w:t xml:space="preserve">of ISO 4 </w:t>
      </w:r>
      <w:r w:rsidR="00AF0A1B" w:rsidRPr="00E70DA6">
        <w:t xml:space="preserve">quality and </w:t>
      </w:r>
      <w:r w:rsidR="000955DC" w:rsidRPr="00E70DA6">
        <w:t>220</w:t>
      </w:r>
      <w:r w:rsidR="00AF0A1B" w:rsidRPr="00E70DA6">
        <w:t xml:space="preserve"> </w:t>
      </w:r>
      <w:r w:rsidR="002E17E6" w:rsidRPr="00E70DA6">
        <w:t xml:space="preserve">m2 of </w:t>
      </w:r>
      <w:r w:rsidRPr="00E70DA6">
        <w:t xml:space="preserve">ISO 7 air quality is </w:t>
      </w:r>
      <w:r w:rsidR="0022392B" w:rsidRPr="00E70DA6">
        <w:t xml:space="preserve">installed </w:t>
      </w:r>
      <w:r w:rsidR="00AF0A1B" w:rsidRPr="00E70DA6">
        <w:t>inside this hall</w:t>
      </w:r>
      <w:r w:rsidR="002E17E6" w:rsidRPr="00E70DA6">
        <w:t xml:space="preserve">. </w:t>
      </w:r>
      <w:r w:rsidR="0022392B" w:rsidRPr="00E70DA6">
        <w:t>U</w:t>
      </w:r>
      <w:r w:rsidRPr="00E70DA6">
        <w:t>ltrasonic cleaning (USC) and ultra- pure water rinsing line (UPW)</w:t>
      </w:r>
      <w:r w:rsidR="002E17E6" w:rsidRPr="00E70DA6">
        <w:t xml:space="preserve">, </w:t>
      </w:r>
      <w:r w:rsidR="00B5545D" w:rsidRPr="00E70DA6">
        <w:t xml:space="preserve">closed loop </w:t>
      </w:r>
      <w:r w:rsidR="002E17E6" w:rsidRPr="00E70DA6">
        <w:t xml:space="preserve">Buffered </w:t>
      </w:r>
      <w:r w:rsidR="002E17E6">
        <w:t>C</w:t>
      </w:r>
      <w:r>
        <w:t xml:space="preserve">hemical </w:t>
      </w:r>
      <w:r w:rsidR="0022392B">
        <w:t>Polishing (BCP)</w:t>
      </w:r>
      <w:r w:rsidR="00582547">
        <w:t xml:space="preserve"> (Figure </w:t>
      </w:r>
      <w:r w:rsidR="00CE6DBA">
        <w:t>2</w:t>
      </w:r>
      <w:r w:rsidR="00C04D93">
        <w:t>)</w:t>
      </w:r>
      <w:r w:rsidR="00B5545D">
        <w:t xml:space="preserve">, one for  the BCP flash chemistry and one for outside etching. </w:t>
      </w:r>
      <w:r w:rsidR="002E17E6">
        <w:t xml:space="preserve">Ultra-pure water </w:t>
      </w:r>
      <w:r>
        <w:t xml:space="preserve">rinsing </w:t>
      </w:r>
      <w:r w:rsidR="002E17E6">
        <w:t xml:space="preserve">and </w:t>
      </w:r>
      <w:r>
        <w:t xml:space="preserve">ethanol rinsing </w:t>
      </w:r>
      <w:r w:rsidR="002E17E6">
        <w:t xml:space="preserve">facility </w:t>
      </w:r>
      <w:r w:rsidR="00AF0A1B">
        <w:t>a</w:t>
      </w:r>
      <w:r w:rsidR="002E17E6">
        <w:t xml:space="preserve">re </w:t>
      </w:r>
      <w:r w:rsidR="0022392B" w:rsidRPr="00B5545D">
        <w:t>integrated</w:t>
      </w:r>
      <w:r w:rsidR="0022392B">
        <w:t xml:space="preserve"> </w:t>
      </w:r>
      <w:r w:rsidR="002E17E6">
        <w:t xml:space="preserve">in </w:t>
      </w:r>
      <w:r w:rsidR="0022392B">
        <w:t xml:space="preserve">the </w:t>
      </w:r>
      <w:r w:rsidR="002E17E6">
        <w:t>ISO 7 area</w:t>
      </w:r>
      <w:r w:rsidR="00B5545D">
        <w:t xml:space="preserve"> as well</w:t>
      </w:r>
      <w:r w:rsidR="002E17E6">
        <w:t>. In ISO 4 area slow pumpi</w:t>
      </w:r>
      <w:r w:rsidR="00025A34">
        <w:t>ng- slow venting units (SPSV) [</w:t>
      </w:r>
      <w:r w:rsidR="007C1014">
        <w:t>3</w:t>
      </w:r>
      <w:r w:rsidR="002E17E6">
        <w:t>] and two</w:t>
      </w:r>
      <w:r w:rsidR="002E17E6" w:rsidRPr="002E17E6">
        <w:t xml:space="preserve"> </w:t>
      </w:r>
      <w:r w:rsidR="002E17E6">
        <w:t xml:space="preserve">high pressure </w:t>
      </w:r>
      <w:r w:rsidR="00B3451C">
        <w:t xml:space="preserve">water </w:t>
      </w:r>
      <w:r w:rsidR="002E17E6">
        <w:t xml:space="preserve">rinsing stands (HPR) are integrated. FMS integration, cavity drying after HPR, assembly of accessories and vacuum checks are performed in </w:t>
      </w:r>
      <w:r w:rsidR="00B201AE">
        <w:t xml:space="preserve">the </w:t>
      </w:r>
      <w:r w:rsidR="002E17E6">
        <w:t>ISO 4 area</w:t>
      </w:r>
      <w:r w:rsidR="00B201AE">
        <w:t xml:space="preserve"> as well</w:t>
      </w:r>
      <w:r w:rsidR="002E17E6">
        <w:t>.</w:t>
      </w:r>
      <w:r>
        <w:t xml:space="preserve"> </w:t>
      </w:r>
    </w:p>
    <w:p w:rsidR="0022392B" w:rsidRDefault="00B201AE" w:rsidP="00371585">
      <w:pPr>
        <w:pStyle w:val="BodyTextNoIndent"/>
        <w:ind w:firstLine="187"/>
      </w:pPr>
      <w:r>
        <w:t>A</w:t>
      </w:r>
      <w:r w:rsidR="0022392B">
        <w:t xml:space="preserve"> new</w:t>
      </w:r>
      <w:r>
        <w:t xml:space="preserve"> UHV 800 C annealing oven</w:t>
      </w:r>
      <w:r w:rsidR="00582547">
        <w:t xml:space="preserve"> (Fig</w:t>
      </w:r>
      <w:r w:rsidR="00CE6DBA">
        <w:t>ure</w:t>
      </w:r>
      <w:r w:rsidR="00582547">
        <w:t xml:space="preserve"> </w:t>
      </w:r>
      <w:r w:rsidR="00CE6DBA">
        <w:t>3</w:t>
      </w:r>
      <w:r w:rsidR="00582547">
        <w:t>)</w:t>
      </w:r>
      <w:r>
        <w:t>, f</w:t>
      </w:r>
      <w:r w:rsidR="003314D6">
        <w:t>our 120 C baking oven</w:t>
      </w:r>
      <w:r w:rsidR="0022392B">
        <w:t>s</w:t>
      </w:r>
      <w:r w:rsidR="003314D6">
        <w:t xml:space="preserve">, a </w:t>
      </w:r>
      <w:r w:rsidR="00AF0A1B">
        <w:t xml:space="preserve">semi-automatic </w:t>
      </w:r>
      <w:r w:rsidR="003314D6">
        <w:t xml:space="preserve">chemical plant for parts </w:t>
      </w:r>
      <w:r w:rsidR="00AF0A1B">
        <w:t xml:space="preserve">etching </w:t>
      </w:r>
      <w:r w:rsidR="00995391">
        <w:t>be</w:t>
      </w:r>
      <w:r w:rsidR="004008FA">
        <w:t>for</w:t>
      </w:r>
      <w:r w:rsidR="00995391">
        <w:t>e</w:t>
      </w:r>
      <w:r w:rsidR="004008FA">
        <w:t xml:space="preserve"> EB welding </w:t>
      </w:r>
      <w:r w:rsidR="003314D6">
        <w:t xml:space="preserve">and a local BCP bench </w:t>
      </w:r>
      <w:r w:rsidR="00AF0A1B">
        <w:t xml:space="preserve">for accessory etching </w:t>
      </w:r>
      <w:r w:rsidR="003314D6">
        <w:t>a</w:t>
      </w:r>
      <w:r w:rsidR="00AF0A1B">
        <w:t>re set up inside this hall as well</w:t>
      </w:r>
      <w:r w:rsidR="003314D6">
        <w:t xml:space="preserve">.   </w:t>
      </w:r>
    </w:p>
    <w:p w:rsidR="003314D6" w:rsidRDefault="003314D6" w:rsidP="00371585">
      <w:pPr>
        <w:pStyle w:val="BodyTextNoIndent"/>
        <w:ind w:firstLine="187"/>
      </w:pPr>
      <w:r>
        <w:t>In addition several new machines, test benches and a safety room for pressu</w:t>
      </w:r>
      <w:r w:rsidR="00B201AE">
        <w:t>re test are integrated into the</w:t>
      </w:r>
      <w:r>
        <w:t xml:space="preserve"> hall.</w:t>
      </w:r>
    </w:p>
    <w:p w:rsidR="001F111B" w:rsidRDefault="003314D6" w:rsidP="001F111B">
      <w:pPr>
        <w:pStyle w:val="BodyTextNoIndent"/>
        <w:ind w:firstLine="187"/>
      </w:pPr>
      <w:r>
        <w:t>During the start</w:t>
      </w:r>
      <w:r w:rsidR="002E17E6">
        <w:t>-</w:t>
      </w:r>
      <w:r>
        <w:t xml:space="preserve">up of the </w:t>
      </w:r>
      <w:r w:rsidR="0022392B">
        <w:t>cavity preparation</w:t>
      </w:r>
      <w:r>
        <w:t xml:space="preserve"> a new </w:t>
      </w:r>
      <w:proofErr w:type="spellStart"/>
      <w:r w:rsidR="00AA57DB">
        <w:t>e</w:t>
      </w:r>
      <w:r>
        <w:t>lectro</w:t>
      </w:r>
      <w:r w:rsidR="00B5545D">
        <w:t>polishing</w:t>
      </w:r>
      <w:proofErr w:type="spellEnd"/>
      <w:r w:rsidR="00B5545D">
        <w:t xml:space="preserve"> </w:t>
      </w:r>
      <w:r>
        <w:t xml:space="preserve">facility is </w:t>
      </w:r>
      <w:r w:rsidR="00B5545D">
        <w:t xml:space="preserve">designed and </w:t>
      </w:r>
      <w:r>
        <w:t xml:space="preserve">set up </w:t>
      </w:r>
      <w:r w:rsidR="00B5545D">
        <w:t xml:space="preserve">by EZ </w:t>
      </w:r>
      <w:r>
        <w:t>to minimize transports and optimize material flow</w:t>
      </w:r>
      <w:r w:rsidR="00025A34">
        <w:t xml:space="preserve"> [</w:t>
      </w:r>
      <w:r w:rsidR="007C1014">
        <w:t>4</w:t>
      </w:r>
      <w:r w:rsidR="00025A34">
        <w:t>]</w:t>
      </w:r>
      <w:r>
        <w:t>.</w:t>
      </w:r>
    </w:p>
    <w:p w:rsidR="003B118F" w:rsidRDefault="003B118F" w:rsidP="00910D42">
      <w:pPr>
        <w:pStyle w:val="Titre2"/>
        <w:spacing w:before="180"/>
        <w:jc w:val="both"/>
      </w:pPr>
      <w:r w:rsidRPr="00682DFC">
        <w:lastRenderedPageBreak/>
        <w:t>Qualification of infrastructure</w:t>
      </w:r>
    </w:p>
    <w:p w:rsidR="00BA28B1" w:rsidRDefault="00BA28B1" w:rsidP="00BA28B1">
      <w:pPr>
        <w:pStyle w:val="BodyTextNoIndent"/>
        <w:ind w:firstLine="187"/>
      </w:pPr>
      <w:r>
        <w:t xml:space="preserve">Four DCV cavities are in use to set up infrastructure, </w:t>
      </w:r>
      <w:r w:rsidR="00D373BB">
        <w:t xml:space="preserve">determine process parameters, for </w:t>
      </w:r>
      <w:r>
        <w:t>training of personnel and establish</w:t>
      </w:r>
      <w:r w:rsidR="00D373BB">
        <w:t xml:space="preserve">ing of the </w:t>
      </w:r>
      <w:r w:rsidR="001F111B">
        <w:t>process flow [</w:t>
      </w:r>
      <w:r w:rsidR="007C1014">
        <w:t>1</w:t>
      </w:r>
      <w:r w:rsidR="003F21EF">
        <w:t>,</w:t>
      </w:r>
      <w:r w:rsidR="00910D42">
        <w:t xml:space="preserve"> </w:t>
      </w:r>
      <w:r w:rsidR="007C1014">
        <w:t>5</w:t>
      </w:r>
      <w:r w:rsidR="007840DE">
        <w:t>].</w:t>
      </w:r>
    </w:p>
    <w:p w:rsidR="00E33C83" w:rsidRDefault="00F4163E" w:rsidP="000F40BB">
      <w:pPr>
        <w:pStyle w:val="BodyTextNoIndent"/>
        <w:ind w:firstLine="187"/>
      </w:pPr>
      <w:r>
        <w:t xml:space="preserve">Release for processing </w:t>
      </w:r>
      <w:r w:rsidR="00E70DA6">
        <w:t>X</w:t>
      </w:r>
      <w:r w:rsidR="00C86DB4">
        <w:t>F</w:t>
      </w:r>
      <w:r w:rsidR="00E70DA6">
        <w:t xml:space="preserve">EL </w:t>
      </w:r>
      <w:r>
        <w:t>cavities in t</w:t>
      </w:r>
      <w:r w:rsidR="00D373BB">
        <w:t xml:space="preserve">he infrastructure is given </w:t>
      </w:r>
      <w:r>
        <w:t xml:space="preserve">after </w:t>
      </w:r>
      <w:r w:rsidR="00D373BB">
        <w:t xml:space="preserve">intensive studies and training by DCV. After passing </w:t>
      </w:r>
      <w:r>
        <w:t>test</w:t>
      </w:r>
      <w:r w:rsidR="00D373BB">
        <w:t>s</w:t>
      </w:r>
      <w:r>
        <w:t xml:space="preserve"> </w:t>
      </w:r>
      <w:r w:rsidR="00D373BB">
        <w:t>at 2 K with</w:t>
      </w:r>
      <w:r w:rsidR="001F111B">
        <w:t xml:space="preserve"> </w:t>
      </w:r>
      <w:r>
        <w:t xml:space="preserve">RCV cavities </w:t>
      </w:r>
      <w:r w:rsidR="00D373BB">
        <w:t xml:space="preserve">successful </w:t>
      </w:r>
      <w:r>
        <w:t xml:space="preserve">up to step RCV 6 (table 2) </w:t>
      </w:r>
      <w:r w:rsidR="00D373BB">
        <w:t xml:space="preserve">release for </w:t>
      </w:r>
      <w:r w:rsidR="00313A64">
        <w:t>pre-</w:t>
      </w:r>
      <w:r w:rsidR="00D373BB">
        <w:t>series cavit</w:t>
      </w:r>
      <w:r w:rsidR="00E33C83">
        <w:t>y</w:t>
      </w:r>
      <w:r w:rsidR="00D373BB">
        <w:t xml:space="preserve"> preparation is given</w:t>
      </w:r>
      <w:r>
        <w:t xml:space="preserve">. Series production is released after eight </w:t>
      </w:r>
      <w:r w:rsidR="00313A64">
        <w:t>pre-</w:t>
      </w:r>
      <w:r>
        <w:t xml:space="preserve">series cavities (PCV) </w:t>
      </w:r>
      <w:r w:rsidR="00D373BB">
        <w:t>are</w:t>
      </w:r>
      <w:r>
        <w:t xml:space="preserve"> successfully tested.</w:t>
      </w:r>
    </w:p>
    <w:p w:rsidR="00E33C83" w:rsidRPr="000F40BB" w:rsidRDefault="000F40BB" w:rsidP="000728D4">
      <w:pPr>
        <w:pStyle w:val="FigureCaptionMultiLine"/>
      </w:pPr>
      <w:r w:rsidRPr="005C0B1F">
        <w:rPr>
          <w:kern w:val="16"/>
        </w:rPr>
        <w:t>Fig</w:t>
      </w:r>
      <w:r w:rsidR="000728D4" w:rsidRPr="005C0B1F">
        <w:rPr>
          <w:kern w:val="16"/>
        </w:rPr>
        <w:t xml:space="preserve">ure </w:t>
      </w:r>
      <w:r w:rsidRPr="005C0B1F">
        <w:rPr>
          <w:kern w:val="16"/>
        </w:rPr>
        <w:t>1</w:t>
      </w:r>
      <w:r w:rsidR="00E33C83" w:rsidRPr="005C0B1F">
        <w:rPr>
          <w:kern w:val="16"/>
        </w:rPr>
        <w:t>: View on the ISO 7 area of EZ cleanroom. Left:</w:t>
      </w:r>
      <w:r w:rsidR="00E33C83">
        <w:t xml:space="preserve"> BCP stand i</w:t>
      </w:r>
      <w:r w:rsidR="00E33C83" w:rsidRPr="00E33C83">
        <w:t>nside</w:t>
      </w:r>
      <w:r w:rsidR="00E33C83">
        <w:t>-</w:t>
      </w:r>
      <w:r w:rsidR="00E33C83" w:rsidRPr="00E33C83">
        <w:t xml:space="preserve"> and outside e</w:t>
      </w:r>
      <w:r w:rsidR="00E33C83" w:rsidRPr="005C0B1F">
        <w:rPr>
          <w:kern w:val="16"/>
        </w:rPr>
        <w:t>tching; Right automated cleaning facility</w:t>
      </w:r>
      <w:r w:rsidR="00B913BF" w:rsidRPr="005C0B1F">
        <w:rPr>
          <w:kern w:val="16"/>
        </w:rPr>
        <w:t>.</w:t>
      </w:r>
    </w:p>
    <w:p w:rsidR="003B118F" w:rsidRDefault="003B118F" w:rsidP="003B118F">
      <w:pPr>
        <w:pStyle w:val="Titre3"/>
        <w:rPr>
          <w:kern w:val="16"/>
        </w:rPr>
      </w:pPr>
      <w:r w:rsidRPr="00571EE6">
        <w:rPr>
          <w:kern w:val="16"/>
        </w:rPr>
        <w:t xml:space="preserve">Pre- qualification of </w:t>
      </w:r>
      <w:r w:rsidR="0045008E">
        <w:rPr>
          <w:kern w:val="16"/>
        </w:rPr>
        <w:t>M</w:t>
      </w:r>
      <w:r w:rsidRPr="00571EE6">
        <w:rPr>
          <w:kern w:val="16"/>
        </w:rPr>
        <w:t xml:space="preserve">ain </w:t>
      </w:r>
      <w:r w:rsidR="0045008E">
        <w:rPr>
          <w:kern w:val="16"/>
        </w:rPr>
        <w:t>I</w:t>
      </w:r>
      <w:r w:rsidRPr="00571EE6">
        <w:rPr>
          <w:kern w:val="16"/>
        </w:rPr>
        <w:t xml:space="preserve">nfrastructure </w:t>
      </w:r>
    </w:p>
    <w:p w:rsidR="00CE6DBA" w:rsidRDefault="00CE6DBA" w:rsidP="00CE6DBA">
      <w:pPr>
        <w:pStyle w:val="BodyTextNoIndent"/>
      </w:pPr>
      <w:r>
        <w:rPr>
          <w:noProof/>
          <w:lang w:val="en-US"/>
        </w:rPr>
        <w:drawing>
          <wp:inline distT="0" distB="0" distL="0" distR="0" wp14:anchorId="3AF86733" wp14:editId="669BEF22">
            <wp:extent cx="2968625" cy="1762760"/>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nroom wo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8625" cy="1762760"/>
                    </a:xfrm>
                    <a:prstGeom prst="rect">
                      <a:avLst/>
                    </a:prstGeom>
                  </pic:spPr>
                </pic:pic>
              </a:graphicData>
            </a:graphic>
          </wp:inline>
        </w:drawing>
      </w:r>
    </w:p>
    <w:p w:rsidR="00CE6DBA" w:rsidRDefault="00CE6DBA" w:rsidP="00CE6DBA">
      <w:pPr>
        <w:pStyle w:val="FigureCaptionMultiLine"/>
        <w:rPr>
          <w:kern w:val="16"/>
        </w:rPr>
      </w:pPr>
      <w:r w:rsidRPr="00B913BF">
        <w:rPr>
          <w:kern w:val="16"/>
        </w:rPr>
        <w:t xml:space="preserve">Figure </w:t>
      </w:r>
      <w:r>
        <w:rPr>
          <w:kern w:val="16"/>
        </w:rPr>
        <w:t>2</w:t>
      </w:r>
      <w:r w:rsidRPr="00B913BF">
        <w:rPr>
          <w:kern w:val="16"/>
        </w:rPr>
        <w:t xml:space="preserve">: chemistry area inside ISO </w:t>
      </w:r>
      <w:r w:rsidR="00910D42">
        <w:rPr>
          <w:kern w:val="16"/>
        </w:rPr>
        <w:t xml:space="preserve">7 cleanroom at EZ </w:t>
      </w:r>
      <w:proofErr w:type="spellStart"/>
      <w:r w:rsidR="00910D42">
        <w:rPr>
          <w:kern w:val="16"/>
        </w:rPr>
        <w:t>S.p.A</w:t>
      </w:r>
      <w:proofErr w:type="spellEnd"/>
      <w:r w:rsidR="00910D42">
        <w:rPr>
          <w:kern w:val="16"/>
        </w:rPr>
        <w:t xml:space="preserve">. Left: </w:t>
      </w:r>
      <w:r w:rsidRPr="00B913BF">
        <w:rPr>
          <w:kern w:val="16"/>
        </w:rPr>
        <w:t>closed loop BCP for</w:t>
      </w:r>
      <w:r w:rsidR="00EF63DE">
        <w:rPr>
          <w:kern w:val="16"/>
        </w:rPr>
        <w:t xml:space="preserve"> BCP flash and outside etching.</w:t>
      </w:r>
    </w:p>
    <w:p w:rsidR="007840DE" w:rsidRDefault="007840DE" w:rsidP="007840DE">
      <w:pPr>
        <w:pStyle w:val="Retraitcorpsdetexte"/>
      </w:pPr>
      <w:r w:rsidDel="00CE6DBA">
        <w:lastRenderedPageBreak/>
        <w:t>Parts of the infrastructure are prequalified by standard test (Table 1).</w:t>
      </w:r>
    </w:p>
    <w:p w:rsidR="00EF63DE" w:rsidRDefault="00EF63DE" w:rsidP="00EF63DE">
      <w:pPr>
        <w:pStyle w:val="Retraitcorpsdetexte"/>
      </w:pPr>
      <w:r w:rsidDel="00CE6DBA">
        <w:t>Only after passing these tests, permission for RCV treatment is given</w:t>
      </w:r>
      <w:r>
        <w:t>.</w:t>
      </w:r>
    </w:p>
    <w:p w:rsidR="009C21D3" w:rsidRDefault="009C21D3" w:rsidP="00E27A77">
      <w:pPr>
        <w:pStyle w:val="Retraitcorpsdetexte"/>
      </w:pPr>
    </w:p>
    <w:p w:rsidR="00A36DAD" w:rsidRPr="00D11646" w:rsidRDefault="006E6D0B" w:rsidP="004D7D9A">
      <w:pPr>
        <w:pStyle w:val="TableCaption"/>
        <w:keepNext/>
        <w:rPr>
          <w:kern w:val="16"/>
        </w:rPr>
      </w:pPr>
      <w:r w:rsidRPr="00D11646">
        <w:rPr>
          <w:kern w:val="16"/>
        </w:rPr>
        <w:t xml:space="preserve">Table 1: </w:t>
      </w:r>
      <w:r w:rsidR="00D11646" w:rsidRPr="00D11646">
        <w:rPr>
          <w:kern w:val="16"/>
        </w:rPr>
        <w:t>C</w:t>
      </w:r>
      <w:r w:rsidRPr="00D11646">
        <w:rPr>
          <w:kern w:val="16"/>
        </w:rPr>
        <w:t>ondition for pre-qualification of infrastructure</w:t>
      </w:r>
    </w:p>
    <w:tbl>
      <w:tblPr>
        <w:tblStyle w:val="Grilledutableau"/>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2978"/>
      </w:tblGrid>
      <w:tr w:rsidR="00A914BD" w:rsidRPr="0044416A" w:rsidTr="009C21D3">
        <w:tc>
          <w:tcPr>
            <w:tcW w:w="1700" w:type="dxa"/>
            <w:tcBorders>
              <w:top w:val="single" w:sz="12" w:space="0" w:color="auto"/>
              <w:bottom w:val="single" w:sz="4" w:space="0" w:color="auto"/>
            </w:tcBorders>
          </w:tcPr>
          <w:p w:rsidR="00A914BD" w:rsidRPr="00D869C2" w:rsidRDefault="003070A3" w:rsidP="006E6D0B">
            <w:pPr>
              <w:pStyle w:val="TableCaption"/>
              <w:jc w:val="left"/>
              <w:rPr>
                <w:bCs/>
                <w:kern w:val="16"/>
                <w:sz w:val="18"/>
                <w:szCs w:val="18"/>
              </w:rPr>
            </w:pPr>
            <w:bookmarkStart w:id="0" w:name="OLE_LINK1"/>
            <w:r w:rsidRPr="00D869C2">
              <w:rPr>
                <w:bCs/>
                <w:kern w:val="16"/>
                <w:sz w:val="18"/>
                <w:szCs w:val="18"/>
              </w:rPr>
              <w:t xml:space="preserve">Cleanroom </w:t>
            </w:r>
            <w:r w:rsidR="005839F8" w:rsidRPr="00D869C2">
              <w:rPr>
                <w:bCs/>
                <w:kern w:val="16"/>
                <w:sz w:val="18"/>
                <w:szCs w:val="18"/>
              </w:rPr>
              <w:t xml:space="preserve">+ </w:t>
            </w:r>
            <w:r w:rsidRPr="00D869C2">
              <w:rPr>
                <w:bCs/>
                <w:kern w:val="16"/>
                <w:sz w:val="18"/>
                <w:szCs w:val="18"/>
              </w:rPr>
              <w:t>Assembly area (ISO 4)</w:t>
            </w:r>
          </w:p>
        </w:tc>
        <w:tc>
          <w:tcPr>
            <w:tcW w:w="2978" w:type="dxa"/>
            <w:tcBorders>
              <w:top w:val="single" w:sz="12" w:space="0" w:color="auto"/>
              <w:bottom w:val="single" w:sz="4" w:space="0" w:color="auto"/>
            </w:tcBorders>
          </w:tcPr>
          <w:p w:rsidR="00A914BD" w:rsidRPr="00D869C2" w:rsidRDefault="003070A3" w:rsidP="006E6D0B">
            <w:pPr>
              <w:pStyle w:val="TableCaption"/>
              <w:jc w:val="left"/>
              <w:rPr>
                <w:bCs/>
                <w:kern w:val="16"/>
                <w:sz w:val="18"/>
                <w:szCs w:val="18"/>
              </w:rPr>
            </w:pPr>
            <w:r w:rsidRPr="00D869C2">
              <w:rPr>
                <w:bCs/>
                <w:kern w:val="16"/>
                <w:sz w:val="18"/>
                <w:szCs w:val="18"/>
              </w:rPr>
              <w:t>A</w:t>
            </w:r>
            <w:r w:rsidR="00A914BD" w:rsidRPr="00D869C2">
              <w:rPr>
                <w:bCs/>
                <w:kern w:val="16"/>
                <w:sz w:val="18"/>
                <w:szCs w:val="18"/>
              </w:rPr>
              <w:t>ir particle counter, airspeed control, fog generator under status in Operation.</w:t>
            </w:r>
          </w:p>
        </w:tc>
      </w:tr>
      <w:tr w:rsidR="00A914BD" w:rsidRPr="0044416A" w:rsidTr="002C03C8">
        <w:tc>
          <w:tcPr>
            <w:tcW w:w="1700" w:type="dxa"/>
            <w:tcBorders>
              <w:top w:val="single" w:sz="4" w:space="0" w:color="auto"/>
              <w:bottom w:val="single" w:sz="4" w:space="0" w:color="auto"/>
            </w:tcBorders>
          </w:tcPr>
          <w:p w:rsidR="00A914BD" w:rsidRPr="00D869C2" w:rsidRDefault="003070A3" w:rsidP="006E6D0B">
            <w:pPr>
              <w:pStyle w:val="TableCaption"/>
              <w:jc w:val="left"/>
              <w:rPr>
                <w:bCs/>
                <w:kern w:val="16"/>
                <w:sz w:val="18"/>
                <w:szCs w:val="18"/>
              </w:rPr>
            </w:pPr>
            <w:r w:rsidRPr="00D869C2">
              <w:rPr>
                <w:bCs/>
                <w:kern w:val="16"/>
                <w:sz w:val="18"/>
                <w:szCs w:val="18"/>
              </w:rPr>
              <w:t>Ultra- pure water system</w:t>
            </w:r>
          </w:p>
        </w:tc>
        <w:tc>
          <w:tcPr>
            <w:tcW w:w="2978" w:type="dxa"/>
            <w:tcBorders>
              <w:top w:val="single" w:sz="4" w:space="0" w:color="auto"/>
              <w:bottom w:val="single" w:sz="4" w:space="0" w:color="auto"/>
            </w:tcBorders>
          </w:tcPr>
          <w:p w:rsidR="00A914BD" w:rsidRPr="00D869C2" w:rsidRDefault="00A914BD" w:rsidP="006E6D0B">
            <w:pPr>
              <w:pStyle w:val="TableCaption"/>
              <w:jc w:val="left"/>
              <w:rPr>
                <w:bCs/>
                <w:kern w:val="16"/>
                <w:sz w:val="18"/>
                <w:szCs w:val="18"/>
              </w:rPr>
            </w:pPr>
            <w:r w:rsidRPr="00D869C2">
              <w:rPr>
                <w:bCs/>
                <w:kern w:val="16"/>
                <w:sz w:val="18"/>
                <w:szCs w:val="18"/>
              </w:rPr>
              <w:t xml:space="preserve">TOC -; resistance sensors; liquid particle counter integrated in the UP water line </w:t>
            </w:r>
          </w:p>
        </w:tc>
      </w:tr>
      <w:tr w:rsidR="00A914BD" w:rsidRPr="0044416A" w:rsidTr="002C03C8">
        <w:tc>
          <w:tcPr>
            <w:tcW w:w="1700" w:type="dxa"/>
            <w:tcBorders>
              <w:top w:val="single" w:sz="4" w:space="0" w:color="auto"/>
              <w:bottom w:val="single" w:sz="4" w:space="0" w:color="auto"/>
            </w:tcBorders>
          </w:tcPr>
          <w:p w:rsidR="00A914BD" w:rsidRPr="00D869C2" w:rsidRDefault="003070A3" w:rsidP="006E6D0B">
            <w:pPr>
              <w:pStyle w:val="TableCaption"/>
              <w:jc w:val="left"/>
              <w:rPr>
                <w:bCs/>
                <w:kern w:val="16"/>
                <w:sz w:val="18"/>
                <w:szCs w:val="18"/>
              </w:rPr>
            </w:pPr>
            <w:r w:rsidRPr="00D869C2">
              <w:rPr>
                <w:bCs/>
                <w:kern w:val="16"/>
                <w:sz w:val="18"/>
                <w:szCs w:val="18"/>
              </w:rPr>
              <w:t>HPR (ISO4)</w:t>
            </w:r>
          </w:p>
        </w:tc>
        <w:tc>
          <w:tcPr>
            <w:tcW w:w="2978" w:type="dxa"/>
            <w:tcBorders>
              <w:top w:val="single" w:sz="4" w:space="0" w:color="auto"/>
              <w:bottom w:val="single" w:sz="4" w:space="0" w:color="auto"/>
            </w:tcBorders>
          </w:tcPr>
          <w:p w:rsidR="00A914BD" w:rsidRPr="00D869C2" w:rsidRDefault="00A914BD" w:rsidP="006E6D0B">
            <w:pPr>
              <w:pStyle w:val="TableCaption"/>
              <w:jc w:val="left"/>
              <w:rPr>
                <w:bCs/>
                <w:kern w:val="16"/>
                <w:sz w:val="18"/>
                <w:szCs w:val="18"/>
              </w:rPr>
            </w:pPr>
            <w:r w:rsidRPr="00D869C2">
              <w:rPr>
                <w:bCs/>
                <w:kern w:val="16"/>
                <w:sz w:val="18"/>
                <w:szCs w:val="18"/>
              </w:rPr>
              <w:t>TOC and liquid particle counter, Pressure stability; Program parameter check</w:t>
            </w:r>
          </w:p>
        </w:tc>
      </w:tr>
      <w:tr w:rsidR="00A914BD" w:rsidRPr="0044416A" w:rsidTr="002C03C8">
        <w:tc>
          <w:tcPr>
            <w:tcW w:w="1700" w:type="dxa"/>
            <w:tcBorders>
              <w:top w:val="single" w:sz="4" w:space="0" w:color="auto"/>
              <w:bottom w:val="single" w:sz="4" w:space="0" w:color="auto"/>
            </w:tcBorders>
          </w:tcPr>
          <w:p w:rsidR="008B5478" w:rsidRPr="00D869C2" w:rsidRDefault="00A914BD" w:rsidP="006E6D0B">
            <w:pPr>
              <w:pStyle w:val="TableCaption"/>
              <w:jc w:val="left"/>
              <w:rPr>
                <w:bCs/>
                <w:kern w:val="16"/>
                <w:sz w:val="18"/>
                <w:szCs w:val="18"/>
              </w:rPr>
            </w:pPr>
            <w:r w:rsidRPr="00D869C2">
              <w:rPr>
                <w:bCs/>
                <w:kern w:val="16"/>
                <w:sz w:val="18"/>
                <w:szCs w:val="18"/>
              </w:rPr>
              <w:t xml:space="preserve">BCP facilities </w:t>
            </w:r>
          </w:p>
          <w:p w:rsidR="00A914BD" w:rsidRPr="00D869C2" w:rsidRDefault="00A914BD" w:rsidP="006E6D0B">
            <w:pPr>
              <w:pStyle w:val="TableCaption"/>
              <w:jc w:val="left"/>
              <w:rPr>
                <w:bCs/>
                <w:kern w:val="16"/>
                <w:sz w:val="18"/>
                <w:szCs w:val="18"/>
              </w:rPr>
            </w:pPr>
            <w:r w:rsidRPr="00D869C2">
              <w:rPr>
                <w:bCs/>
                <w:kern w:val="16"/>
                <w:sz w:val="18"/>
                <w:szCs w:val="18"/>
              </w:rPr>
              <w:t>(ISO 7</w:t>
            </w:r>
            <w:r w:rsidR="003070A3" w:rsidRPr="00D869C2">
              <w:rPr>
                <w:bCs/>
                <w:kern w:val="16"/>
                <w:sz w:val="18"/>
                <w:szCs w:val="18"/>
              </w:rPr>
              <w:t>)</w:t>
            </w:r>
          </w:p>
        </w:tc>
        <w:tc>
          <w:tcPr>
            <w:tcW w:w="2978" w:type="dxa"/>
            <w:tcBorders>
              <w:top w:val="single" w:sz="4" w:space="0" w:color="auto"/>
              <w:bottom w:val="single" w:sz="4" w:space="0" w:color="auto"/>
            </w:tcBorders>
          </w:tcPr>
          <w:p w:rsidR="00A914BD" w:rsidRPr="00D869C2" w:rsidRDefault="002C03C8" w:rsidP="006E6D0B">
            <w:pPr>
              <w:pStyle w:val="TableCaption"/>
              <w:jc w:val="left"/>
              <w:rPr>
                <w:bCs/>
                <w:kern w:val="16"/>
                <w:sz w:val="18"/>
                <w:szCs w:val="18"/>
              </w:rPr>
            </w:pPr>
            <w:r w:rsidRPr="00D869C2">
              <w:rPr>
                <w:bCs/>
                <w:kern w:val="16"/>
                <w:sz w:val="18"/>
                <w:szCs w:val="18"/>
              </w:rPr>
              <w:t>F</w:t>
            </w:r>
            <w:r w:rsidR="00A914BD" w:rsidRPr="00D869C2">
              <w:rPr>
                <w:bCs/>
                <w:kern w:val="16"/>
                <w:sz w:val="18"/>
                <w:szCs w:val="18"/>
              </w:rPr>
              <w:t>illing</w:t>
            </w:r>
            <w:r w:rsidRPr="00D869C2">
              <w:rPr>
                <w:bCs/>
                <w:kern w:val="16"/>
                <w:sz w:val="18"/>
                <w:szCs w:val="18"/>
              </w:rPr>
              <w:t xml:space="preserve"> </w:t>
            </w:r>
            <w:r w:rsidR="00A914BD" w:rsidRPr="00D869C2">
              <w:rPr>
                <w:bCs/>
                <w:kern w:val="16"/>
                <w:sz w:val="18"/>
                <w:szCs w:val="18"/>
              </w:rPr>
              <w:t>-and dump time; Temperature- and flow stability.</w:t>
            </w:r>
          </w:p>
        </w:tc>
      </w:tr>
      <w:tr w:rsidR="00A914BD" w:rsidRPr="0044416A" w:rsidTr="002C03C8">
        <w:tc>
          <w:tcPr>
            <w:tcW w:w="1700" w:type="dxa"/>
            <w:tcBorders>
              <w:top w:val="single" w:sz="4" w:space="0" w:color="auto"/>
              <w:bottom w:val="single" w:sz="4" w:space="0" w:color="auto"/>
            </w:tcBorders>
          </w:tcPr>
          <w:p w:rsidR="00A914BD" w:rsidRPr="00D869C2" w:rsidRDefault="003070A3" w:rsidP="006E6D0B">
            <w:pPr>
              <w:pStyle w:val="TableCaption"/>
              <w:jc w:val="left"/>
              <w:rPr>
                <w:bCs/>
                <w:kern w:val="16"/>
                <w:sz w:val="18"/>
                <w:szCs w:val="18"/>
              </w:rPr>
            </w:pPr>
            <w:r w:rsidRPr="00D869C2">
              <w:rPr>
                <w:bCs/>
                <w:kern w:val="16"/>
                <w:sz w:val="18"/>
                <w:szCs w:val="18"/>
              </w:rPr>
              <w:t xml:space="preserve">US cleaning </w:t>
            </w:r>
            <w:r w:rsidR="008B5478" w:rsidRPr="00D869C2">
              <w:rPr>
                <w:bCs/>
                <w:kern w:val="16"/>
                <w:sz w:val="18"/>
                <w:szCs w:val="18"/>
              </w:rPr>
              <w:t>(ISO7)</w:t>
            </w:r>
          </w:p>
        </w:tc>
        <w:tc>
          <w:tcPr>
            <w:tcW w:w="2978" w:type="dxa"/>
            <w:tcBorders>
              <w:top w:val="single" w:sz="4" w:space="0" w:color="auto"/>
              <w:bottom w:val="single" w:sz="4" w:space="0" w:color="auto"/>
            </w:tcBorders>
          </w:tcPr>
          <w:p w:rsidR="00A914BD" w:rsidRPr="00D869C2" w:rsidRDefault="008B5478" w:rsidP="006E6D0B">
            <w:pPr>
              <w:pStyle w:val="TableCaption"/>
              <w:jc w:val="left"/>
              <w:rPr>
                <w:bCs/>
                <w:kern w:val="16"/>
                <w:sz w:val="18"/>
                <w:szCs w:val="18"/>
              </w:rPr>
            </w:pPr>
            <w:r w:rsidRPr="00D869C2">
              <w:rPr>
                <w:bCs/>
                <w:kern w:val="16"/>
                <w:sz w:val="18"/>
                <w:szCs w:val="18"/>
              </w:rPr>
              <w:t xml:space="preserve">Samples and DCV cavities </w:t>
            </w:r>
            <w:r w:rsidR="003070A3" w:rsidRPr="00D869C2">
              <w:rPr>
                <w:bCs/>
                <w:kern w:val="16"/>
                <w:sz w:val="18"/>
                <w:szCs w:val="18"/>
              </w:rPr>
              <w:t>drip off test; RGA</w:t>
            </w:r>
            <w:r w:rsidR="00A914BD" w:rsidRPr="00D869C2">
              <w:rPr>
                <w:bCs/>
                <w:kern w:val="16"/>
                <w:sz w:val="18"/>
                <w:szCs w:val="18"/>
              </w:rPr>
              <w:t xml:space="preserve"> at SPSV and 800 C oven</w:t>
            </w:r>
          </w:p>
        </w:tc>
      </w:tr>
      <w:tr w:rsidR="00A914BD" w:rsidRPr="0044416A" w:rsidTr="002C03C8">
        <w:tc>
          <w:tcPr>
            <w:tcW w:w="1700" w:type="dxa"/>
            <w:tcBorders>
              <w:top w:val="single" w:sz="4" w:space="0" w:color="auto"/>
              <w:bottom w:val="single" w:sz="4" w:space="0" w:color="auto"/>
            </w:tcBorders>
          </w:tcPr>
          <w:p w:rsidR="00A914BD" w:rsidRPr="00D869C2" w:rsidRDefault="003070A3" w:rsidP="006E6D0B">
            <w:pPr>
              <w:pStyle w:val="TableCaption"/>
              <w:jc w:val="left"/>
              <w:rPr>
                <w:bCs/>
                <w:kern w:val="16"/>
                <w:sz w:val="18"/>
                <w:szCs w:val="18"/>
              </w:rPr>
            </w:pPr>
            <w:r w:rsidRPr="00D869C2">
              <w:rPr>
                <w:bCs/>
                <w:kern w:val="16"/>
                <w:sz w:val="18"/>
                <w:szCs w:val="18"/>
              </w:rPr>
              <w:t>SPSV units (ISO 4)</w:t>
            </w:r>
          </w:p>
        </w:tc>
        <w:tc>
          <w:tcPr>
            <w:tcW w:w="2978" w:type="dxa"/>
            <w:tcBorders>
              <w:top w:val="single" w:sz="4" w:space="0" w:color="auto"/>
              <w:bottom w:val="single" w:sz="4" w:space="0" w:color="auto"/>
            </w:tcBorders>
          </w:tcPr>
          <w:p w:rsidR="00A914BD" w:rsidRPr="00D869C2" w:rsidRDefault="00A914BD" w:rsidP="006E6D0B">
            <w:pPr>
              <w:pStyle w:val="TableCaption"/>
              <w:jc w:val="left"/>
              <w:rPr>
                <w:bCs/>
                <w:kern w:val="16"/>
                <w:sz w:val="18"/>
                <w:szCs w:val="18"/>
              </w:rPr>
            </w:pPr>
            <w:r w:rsidRPr="00D869C2">
              <w:rPr>
                <w:bCs/>
                <w:kern w:val="16"/>
                <w:sz w:val="18"/>
                <w:szCs w:val="18"/>
              </w:rPr>
              <w:t>RGA, total end pressure, air particle control</w:t>
            </w:r>
          </w:p>
        </w:tc>
      </w:tr>
      <w:tr w:rsidR="00A914BD" w:rsidRPr="0044416A" w:rsidTr="002C03C8">
        <w:tc>
          <w:tcPr>
            <w:tcW w:w="1700" w:type="dxa"/>
            <w:tcBorders>
              <w:top w:val="single" w:sz="4" w:space="0" w:color="auto"/>
              <w:bottom w:val="single" w:sz="4" w:space="0" w:color="auto"/>
            </w:tcBorders>
          </w:tcPr>
          <w:p w:rsidR="00A914BD" w:rsidRPr="00D869C2" w:rsidRDefault="003070A3" w:rsidP="006E6D0B">
            <w:pPr>
              <w:pStyle w:val="TableCaption"/>
              <w:jc w:val="left"/>
              <w:rPr>
                <w:bCs/>
                <w:kern w:val="16"/>
                <w:sz w:val="18"/>
                <w:szCs w:val="18"/>
              </w:rPr>
            </w:pPr>
            <w:r w:rsidRPr="00D869C2">
              <w:rPr>
                <w:bCs/>
                <w:kern w:val="16"/>
                <w:sz w:val="18"/>
                <w:szCs w:val="18"/>
              </w:rPr>
              <w:t>EP facility</w:t>
            </w:r>
          </w:p>
        </w:tc>
        <w:tc>
          <w:tcPr>
            <w:tcW w:w="2978" w:type="dxa"/>
            <w:tcBorders>
              <w:top w:val="single" w:sz="4" w:space="0" w:color="auto"/>
              <w:bottom w:val="single" w:sz="4" w:space="0" w:color="auto"/>
            </w:tcBorders>
          </w:tcPr>
          <w:p w:rsidR="00A914BD" w:rsidRPr="00D869C2" w:rsidRDefault="002C03C8" w:rsidP="006E6D0B">
            <w:pPr>
              <w:pStyle w:val="TableCaption"/>
              <w:jc w:val="left"/>
              <w:rPr>
                <w:bCs/>
                <w:kern w:val="16"/>
                <w:sz w:val="18"/>
                <w:szCs w:val="18"/>
              </w:rPr>
            </w:pPr>
            <w:r w:rsidRPr="00D869C2">
              <w:rPr>
                <w:bCs/>
                <w:kern w:val="16"/>
                <w:sz w:val="18"/>
                <w:szCs w:val="18"/>
              </w:rPr>
              <w:t>F</w:t>
            </w:r>
            <w:r w:rsidR="00A914BD" w:rsidRPr="00D869C2">
              <w:rPr>
                <w:bCs/>
                <w:kern w:val="16"/>
                <w:sz w:val="18"/>
                <w:szCs w:val="18"/>
              </w:rPr>
              <w:t xml:space="preserve">low rate, temperature stability; filling-and dump time. Current-  and voltage stability  </w:t>
            </w:r>
          </w:p>
        </w:tc>
      </w:tr>
      <w:tr w:rsidR="00BF5A52" w:rsidRPr="0044416A" w:rsidTr="009C21D3">
        <w:tc>
          <w:tcPr>
            <w:tcW w:w="1700" w:type="dxa"/>
            <w:tcBorders>
              <w:top w:val="single" w:sz="4" w:space="0" w:color="auto"/>
              <w:bottom w:val="single" w:sz="4" w:space="0" w:color="auto"/>
            </w:tcBorders>
          </w:tcPr>
          <w:p w:rsidR="00BF5A52" w:rsidRPr="00D869C2" w:rsidRDefault="00BF5A52" w:rsidP="006E6D0B">
            <w:pPr>
              <w:pStyle w:val="TableCaption"/>
              <w:jc w:val="left"/>
              <w:rPr>
                <w:bCs/>
                <w:kern w:val="16"/>
                <w:sz w:val="18"/>
                <w:szCs w:val="18"/>
              </w:rPr>
            </w:pPr>
            <w:r w:rsidRPr="00D869C2">
              <w:rPr>
                <w:bCs/>
                <w:kern w:val="16"/>
                <w:sz w:val="18"/>
                <w:szCs w:val="18"/>
              </w:rPr>
              <w:t xml:space="preserve">800 C UHV Oven </w:t>
            </w:r>
          </w:p>
        </w:tc>
        <w:tc>
          <w:tcPr>
            <w:tcW w:w="2978" w:type="dxa"/>
            <w:tcBorders>
              <w:top w:val="single" w:sz="4" w:space="0" w:color="auto"/>
              <w:bottom w:val="single" w:sz="4" w:space="0" w:color="auto"/>
            </w:tcBorders>
          </w:tcPr>
          <w:p w:rsidR="00BF5A52" w:rsidRPr="00D869C2" w:rsidRDefault="00BF5A52" w:rsidP="006E6D0B">
            <w:pPr>
              <w:pStyle w:val="TableCaption"/>
              <w:jc w:val="left"/>
              <w:rPr>
                <w:bCs/>
                <w:kern w:val="16"/>
                <w:sz w:val="18"/>
                <w:szCs w:val="18"/>
              </w:rPr>
            </w:pPr>
            <w:r w:rsidRPr="00D869C2">
              <w:rPr>
                <w:bCs/>
                <w:kern w:val="16"/>
                <w:sz w:val="18"/>
                <w:szCs w:val="18"/>
              </w:rPr>
              <w:t xml:space="preserve">UHV pressure RGA and </w:t>
            </w:r>
            <w:proofErr w:type="spellStart"/>
            <w:r w:rsidRPr="00D869C2">
              <w:rPr>
                <w:bCs/>
                <w:kern w:val="16"/>
                <w:sz w:val="18"/>
                <w:szCs w:val="18"/>
              </w:rPr>
              <w:t>Nb</w:t>
            </w:r>
            <w:proofErr w:type="spellEnd"/>
            <w:r w:rsidRPr="00D869C2">
              <w:rPr>
                <w:bCs/>
                <w:kern w:val="16"/>
                <w:sz w:val="18"/>
                <w:szCs w:val="18"/>
              </w:rPr>
              <w:t xml:space="preserve"> Samples test </w:t>
            </w:r>
          </w:p>
        </w:tc>
      </w:tr>
      <w:tr w:rsidR="00BF5A52" w:rsidRPr="0044416A" w:rsidTr="009C21D3">
        <w:tc>
          <w:tcPr>
            <w:tcW w:w="1700" w:type="dxa"/>
            <w:tcBorders>
              <w:top w:val="single" w:sz="4" w:space="0" w:color="auto"/>
              <w:bottom w:val="single" w:sz="12" w:space="0" w:color="auto"/>
            </w:tcBorders>
          </w:tcPr>
          <w:p w:rsidR="00BF5A52" w:rsidRPr="00D869C2" w:rsidRDefault="00BF5A52" w:rsidP="006E6D0B">
            <w:pPr>
              <w:pStyle w:val="TableCaption"/>
              <w:jc w:val="left"/>
              <w:rPr>
                <w:bCs/>
                <w:kern w:val="16"/>
                <w:sz w:val="18"/>
                <w:szCs w:val="18"/>
              </w:rPr>
            </w:pPr>
            <w:r w:rsidRPr="00D869C2">
              <w:rPr>
                <w:bCs/>
                <w:kern w:val="16"/>
                <w:sz w:val="18"/>
                <w:szCs w:val="18"/>
              </w:rPr>
              <w:t>Personnel (ISO4)</w:t>
            </w:r>
          </w:p>
          <w:p w:rsidR="00BF5A52" w:rsidRPr="00D869C2" w:rsidRDefault="00BF5A52" w:rsidP="006E6D0B">
            <w:pPr>
              <w:pStyle w:val="TableCaption"/>
              <w:jc w:val="left"/>
              <w:rPr>
                <w:bCs/>
                <w:kern w:val="16"/>
                <w:sz w:val="18"/>
                <w:szCs w:val="18"/>
              </w:rPr>
            </w:pPr>
          </w:p>
        </w:tc>
        <w:tc>
          <w:tcPr>
            <w:tcW w:w="2978" w:type="dxa"/>
            <w:tcBorders>
              <w:top w:val="single" w:sz="4" w:space="0" w:color="auto"/>
              <w:bottom w:val="single" w:sz="12" w:space="0" w:color="auto"/>
            </w:tcBorders>
          </w:tcPr>
          <w:p w:rsidR="00BF5A52" w:rsidRPr="00D869C2" w:rsidRDefault="00BF5A52" w:rsidP="006E6D0B">
            <w:pPr>
              <w:pStyle w:val="TableCaption"/>
              <w:jc w:val="left"/>
              <w:rPr>
                <w:bCs/>
                <w:kern w:val="16"/>
                <w:sz w:val="18"/>
                <w:szCs w:val="18"/>
              </w:rPr>
            </w:pPr>
            <w:r w:rsidRPr="00D869C2">
              <w:rPr>
                <w:bCs/>
                <w:kern w:val="16"/>
                <w:sz w:val="18"/>
                <w:szCs w:val="18"/>
              </w:rPr>
              <w:t xml:space="preserve">Training units, air particle counter; leak check of test objects. </w:t>
            </w:r>
          </w:p>
        </w:tc>
      </w:tr>
      <w:bookmarkEnd w:id="0"/>
    </w:tbl>
    <w:p w:rsidR="004A0C1B" w:rsidRDefault="004A0C1B" w:rsidP="004A0C1B">
      <w:pPr>
        <w:pStyle w:val="BodyTextNoIndent"/>
      </w:pPr>
    </w:p>
    <w:p w:rsidR="00D33155" w:rsidRPr="00571EE6" w:rsidRDefault="00467BEE" w:rsidP="00D33155">
      <w:pPr>
        <w:pStyle w:val="Titre3"/>
        <w:rPr>
          <w:kern w:val="16"/>
        </w:rPr>
      </w:pPr>
      <w:r>
        <w:rPr>
          <w:kern w:val="16"/>
        </w:rPr>
        <w:t>Qualification by RCV Test S</w:t>
      </w:r>
      <w:r w:rsidR="004D7D9A">
        <w:rPr>
          <w:kern w:val="16"/>
        </w:rPr>
        <w:t>equences</w:t>
      </w:r>
    </w:p>
    <w:p w:rsidR="00A36DAD" w:rsidRDefault="003F4605" w:rsidP="00F5468B">
      <w:pPr>
        <w:pStyle w:val="BodyTextNoIndent"/>
        <w:ind w:firstLine="187"/>
      </w:pPr>
      <w:r>
        <w:t>Four resonators (CAV0500; CAV050</w:t>
      </w:r>
      <w:r w:rsidR="00815851">
        <w:t>2;</w:t>
      </w:r>
      <w:r w:rsidR="008B5478">
        <w:t xml:space="preserve"> CAV0503; CAV0506) </w:t>
      </w:r>
      <w:r>
        <w:t>are handed to DESY</w:t>
      </w:r>
      <w:r w:rsidR="00815851">
        <w:t xml:space="preserve"> for processing</w:t>
      </w:r>
      <w:r w:rsidR="00F5468B">
        <w:t xml:space="preserve"> according </w:t>
      </w:r>
      <w:r w:rsidR="00F5468B" w:rsidRPr="00F5468B">
        <w:t>to BCP flash sequence</w:t>
      </w:r>
      <w:r w:rsidRPr="00F5468B">
        <w:t xml:space="preserve">. </w:t>
      </w:r>
      <w:r w:rsidR="00F5468B" w:rsidRPr="00F5468B">
        <w:t>CAV0500</w:t>
      </w:r>
      <w:r w:rsidR="00F5468B">
        <w:t xml:space="preserve">, </w:t>
      </w:r>
      <w:r w:rsidR="00F5468B" w:rsidRPr="00F5468B">
        <w:t>C</w:t>
      </w:r>
      <w:r w:rsidR="00F5468B">
        <w:t>A</w:t>
      </w:r>
      <w:r w:rsidR="00F5468B" w:rsidRPr="00F5468B">
        <w:t xml:space="preserve">V00503 and CV00506 reached gradients of 34 to 36MV/m </w:t>
      </w:r>
      <w:r w:rsidR="00F5468B">
        <w:t>without field emission</w:t>
      </w:r>
      <w:r w:rsidR="00995391">
        <w:t>,</w:t>
      </w:r>
      <w:r w:rsidR="00F5468B">
        <w:t xml:space="preserve"> </w:t>
      </w:r>
      <w:r w:rsidR="00F5468B" w:rsidRPr="00F5468B">
        <w:t>while CV00502</w:t>
      </w:r>
      <w:r w:rsidR="00F5468B">
        <w:t xml:space="preserve"> </w:t>
      </w:r>
      <w:r w:rsidR="00F5468B" w:rsidRPr="00F5468B">
        <w:t>showe</w:t>
      </w:r>
      <w:r w:rsidR="00F5468B">
        <w:t>d electro</w:t>
      </w:r>
      <w:r w:rsidR="00F5468B" w:rsidRPr="00F5468B">
        <w:t>n loading and a max gr</w:t>
      </w:r>
      <w:r w:rsidR="00F5468B">
        <w:t>adient</w:t>
      </w:r>
      <w:r w:rsidR="00F5468B" w:rsidRPr="00F5468B">
        <w:t xml:space="preserve"> of 30MV/m</w:t>
      </w:r>
      <w:r w:rsidR="00F5468B">
        <w:t>.</w:t>
      </w:r>
      <w:r w:rsidR="00F5468B" w:rsidRPr="00F5468B">
        <w:t xml:space="preserve"> </w:t>
      </w:r>
    </w:p>
    <w:p w:rsidR="009C21D3" w:rsidRDefault="009C21D3" w:rsidP="009C21D3">
      <w:pPr>
        <w:pStyle w:val="BodyTextNoIndent"/>
        <w:ind w:firstLine="187"/>
      </w:pPr>
      <w:r>
        <w:t>These cavities are hand out to the EZ SPA and served for the qualification processes RCV 0 to 9 (</w:t>
      </w:r>
      <w:r w:rsidR="00EA2AA5">
        <w:t>T</w:t>
      </w:r>
      <w:r>
        <w:t>able 2).</w:t>
      </w:r>
    </w:p>
    <w:p w:rsidR="00EA2AA5" w:rsidRPr="00CE6DBA" w:rsidRDefault="00EA2AA5" w:rsidP="00EA2AA5">
      <w:pPr>
        <w:pStyle w:val="Retraitcorpsdetexte"/>
      </w:pPr>
    </w:p>
    <w:p w:rsidR="00EA2AA5" w:rsidRDefault="00EA2AA5" w:rsidP="00EA2AA5">
      <w:pPr>
        <w:pStyle w:val="BodyTextNoIndent"/>
        <w:jc w:val="center"/>
        <w:rPr>
          <w:b/>
        </w:rPr>
      </w:pPr>
      <w:r>
        <w:rPr>
          <w:noProof/>
          <w:lang w:val="en-US"/>
        </w:rPr>
        <w:drawing>
          <wp:inline distT="0" distB="0" distL="0" distR="0" wp14:anchorId="116E801A" wp14:editId="5735104E">
            <wp:extent cx="2823667" cy="1676683"/>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 C Ov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6479" cy="1678353"/>
                    </a:xfrm>
                    <a:prstGeom prst="rect">
                      <a:avLst/>
                    </a:prstGeom>
                  </pic:spPr>
                </pic:pic>
              </a:graphicData>
            </a:graphic>
          </wp:inline>
        </w:drawing>
      </w:r>
    </w:p>
    <w:p w:rsidR="00EA2AA5" w:rsidRDefault="00EA2AA5" w:rsidP="00EA2AA5">
      <w:pPr>
        <w:pStyle w:val="FigureCaptionMultiLine"/>
      </w:pPr>
      <w:r w:rsidRPr="000728D4">
        <w:t>Fig</w:t>
      </w:r>
      <w:r>
        <w:t>ure</w:t>
      </w:r>
      <w:r w:rsidRPr="000728D4">
        <w:t xml:space="preserve"> </w:t>
      </w:r>
      <w:r>
        <w:t>3: 800 C UHV oven loaded with two XFEL serial cavities</w:t>
      </w:r>
      <w:r w:rsidR="007840DE">
        <w:t>.</w:t>
      </w:r>
    </w:p>
    <w:p w:rsidR="00EA2AA5" w:rsidRDefault="00EA2AA5" w:rsidP="009C21D3">
      <w:pPr>
        <w:pStyle w:val="BodyTextNoIndent"/>
        <w:ind w:firstLine="187"/>
      </w:pPr>
    </w:p>
    <w:p w:rsidR="00F5468B" w:rsidRDefault="00F5468B" w:rsidP="00F5468B">
      <w:pPr>
        <w:pStyle w:val="BodyTextNoIndent"/>
        <w:ind w:firstLine="187"/>
      </w:pPr>
      <w:r>
        <w:lastRenderedPageBreak/>
        <w:t xml:space="preserve">With exception of Step RCV 2 and </w:t>
      </w:r>
      <w:r w:rsidR="00781B6D">
        <w:t xml:space="preserve">RCV </w:t>
      </w:r>
      <w:r>
        <w:t xml:space="preserve">4 the cavities reproduce the gradient as shown at first test at DESY. </w:t>
      </w:r>
    </w:p>
    <w:p w:rsidR="007B3169" w:rsidRDefault="00F5468B" w:rsidP="00F5468B">
      <w:pPr>
        <w:pStyle w:val="BodyTextNoIndent"/>
        <w:ind w:firstLine="187"/>
      </w:pPr>
      <w:r>
        <w:t xml:space="preserve">Sequence RCV 2 for qualification of the first HPR </w:t>
      </w:r>
      <w:r w:rsidR="00BF1A46">
        <w:t xml:space="preserve">(step 2) </w:t>
      </w:r>
      <w:r>
        <w:t xml:space="preserve">needed to be redone </w:t>
      </w:r>
      <w:r w:rsidR="00BF1A46">
        <w:t xml:space="preserve">(step 2.1) </w:t>
      </w:r>
      <w:r>
        <w:t xml:space="preserve">due to contamination of the SPSV system while step RCV 4, qualification of BCP treatment, handling problems during first time process flow </w:t>
      </w:r>
      <w:r w:rsidR="00BF1A46">
        <w:t xml:space="preserve">(step 4) </w:t>
      </w:r>
      <w:r>
        <w:t>are most probably</w:t>
      </w:r>
      <w:r w:rsidR="00B270B3">
        <w:t xml:space="preserve"> </w:t>
      </w:r>
      <w:r w:rsidR="00B44569">
        <w:t>caused</w:t>
      </w:r>
      <w:r>
        <w:t xml:space="preserve"> the high field emission loading</w:t>
      </w:r>
      <w:r w:rsidR="00412FBA">
        <w:t xml:space="preserve">. A </w:t>
      </w:r>
      <w:r w:rsidR="00131CD1">
        <w:t>repetition</w:t>
      </w:r>
      <w:r w:rsidR="00412FBA">
        <w:t xml:space="preserve"> of this sequence </w:t>
      </w:r>
      <w:r w:rsidR="00131CD1">
        <w:t>(</w:t>
      </w:r>
      <w:r w:rsidR="00BF1A46">
        <w:t>step 4.1</w:t>
      </w:r>
      <w:r w:rsidR="00412FBA">
        <w:t>) was done successfully</w:t>
      </w:r>
      <w:r>
        <w:t>.</w:t>
      </w:r>
    </w:p>
    <w:p w:rsidR="00D869C2" w:rsidRDefault="00D869C2" w:rsidP="00F5468B">
      <w:pPr>
        <w:pStyle w:val="BodyTextNoIndent"/>
        <w:ind w:firstLine="187"/>
      </w:pPr>
    </w:p>
    <w:p w:rsidR="00F955FD" w:rsidRPr="00D11646" w:rsidRDefault="006E6D0B" w:rsidP="00D869C2">
      <w:pPr>
        <w:pStyle w:val="FigureCaptionMultiLine"/>
        <w:rPr>
          <w:kern w:val="16"/>
        </w:rPr>
      </w:pPr>
      <w:r w:rsidRPr="006E6D0B">
        <w:rPr>
          <w:kern w:val="16"/>
        </w:rPr>
        <w:t>Table</w:t>
      </w:r>
      <w:r w:rsidRPr="00D11646">
        <w:rPr>
          <w:kern w:val="16"/>
        </w:rPr>
        <w:t xml:space="preserve"> 2: Surface treatment steps tested successfully with RCV test sequences</w:t>
      </w:r>
    </w:p>
    <w:tbl>
      <w:tblPr>
        <w:tblStyle w:val="Grilledutableau"/>
        <w:tblW w:w="0" w:type="auto"/>
        <w:jc w:val="center"/>
        <w:tblInd w:w="154" w:type="dxa"/>
        <w:tblLook w:val="04A0" w:firstRow="1" w:lastRow="0" w:firstColumn="1" w:lastColumn="0" w:noHBand="0" w:noVBand="1"/>
      </w:tblPr>
      <w:tblGrid>
        <w:gridCol w:w="1609"/>
        <w:gridCol w:w="346"/>
        <w:gridCol w:w="346"/>
        <w:gridCol w:w="466"/>
        <w:gridCol w:w="346"/>
        <w:gridCol w:w="466"/>
        <w:gridCol w:w="346"/>
        <w:gridCol w:w="346"/>
        <w:gridCol w:w="466"/>
      </w:tblGrid>
      <w:tr w:rsidR="000C2401" w:rsidRPr="00D11646" w:rsidTr="009C21D3">
        <w:trPr>
          <w:jc w:val="center"/>
        </w:trPr>
        <w:tc>
          <w:tcPr>
            <w:tcW w:w="1677" w:type="dxa"/>
            <w:tcBorders>
              <w:top w:val="single" w:sz="12" w:space="0" w:color="auto"/>
              <w:left w:val="nil"/>
              <w:bottom w:val="single" w:sz="12" w:space="0" w:color="auto"/>
              <w:tl2br w:val="single" w:sz="4" w:space="0" w:color="auto"/>
            </w:tcBorders>
            <w:shd w:val="clear" w:color="auto" w:fill="auto"/>
          </w:tcPr>
          <w:p w:rsidR="00781B6D" w:rsidRPr="00D11646" w:rsidRDefault="00781B6D" w:rsidP="00D11646">
            <w:pPr>
              <w:pStyle w:val="TableCaption"/>
              <w:keepNext/>
              <w:rPr>
                <w:kern w:val="16"/>
              </w:rPr>
            </w:pPr>
            <w:r w:rsidRPr="00D11646">
              <w:rPr>
                <w:kern w:val="16"/>
              </w:rPr>
              <w:t xml:space="preserve"> </w:t>
            </w:r>
            <w:r w:rsidR="00D869C2">
              <w:rPr>
                <w:kern w:val="16"/>
              </w:rPr>
              <w:t xml:space="preserve">      </w:t>
            </w:r>
            <w:r w:rsidRPr="00D11646">
              <w:rPr>
                <w:kern w:val="16"/>
              </w:rPr>
              <w:t xml:space="preserve">Sequence </w:t>
            </w:r>
          </w:p>
          <w:p w:rsidR="00781B6D" w:rsidRPr="00D11646" w:rsidRDefault="00781B6D" w:rsidP="00D11646">
            <w:pPr>
              <w:pStyle w:val="TableCaption"/>
              <w:keepNext/>
              <w:rPr>
                <w:kern w:val="16"/>
              </w:rPr>
            </w:pPr>
            <w:r w:rsidRPr="00D11646">
              <w:rPr>
                <w:kern w:val="16"/>
              </w:rPr>
              <w:t>Step</w:t>
            </w:r>
          </w:p>
        </w:tc>
        <w:tc>
          <w:tcPr>
            <w:tcW w:w="0" w:type="auto"/>
            <w:tcBorders>
              <w:top w:val="single" w:sz="12" w:space="0" w:color="auto"/>
              <w:bottom w:val="single" w:sz="12" w:space="0" w:color="auto"/>
            </w:tcBorders>
            <w:shd w:val="clear" w:color="auto" w:fill="auto"/>
          </w:tcPr>
          <w:p w:rsidR="00781B6D" w:rsidRPr="00D11646" w:rsidRDefault="00781B6D" w:rsidP="00D11646">
            <w:pPr>
              <w:pStyle w:val="TableCaption"/>
              <w:keepNext/>
              <w:rPr>
                <w:kern w:val="16"/>
              </w:rPr>
            </w:pPr>
            <w:r w:rsidRPr="00D11646">
              <w:rPr>
                <w:kern w:val="16"/>
              </w:rPr>
              <w:t>0</w:t>
            </w:r>
          </w:p>
        </w:tc>
        <w:tc>
          <w:tcPr>
            <w:tcW w:w="0" w:type="auto"/>
            <w:tcBorders>
              <w:top w:val="single" w:sz="12" w:space="0" w:color="auto"/>
              <w:bottom w:val="single" w:sz="12" w:space="0" w:color="auto"/>
            </w:tcBorders>
            <w:shd w:val="clear" w:color="auto" w:fill="auto"/>
          </w:tcPr>
          <w:p w:rsidR="00781B6D" w:rsidRPr="00D11646" w:rsidRDefault="00781B6D" w:rsidP="00D11646">
            <w:pPr>
              <w:pStyle w:val="TableCaption"/>
              <w:keepNext/>
              <w:rPr>
                <w:kern w:val="16"/>
              </w:rPr>
            </w:pPr>
            <w:r w:rsidRPr="00D11646">
              <w:rPr>
                <w:kern w:val="16"/>
              </w:rPr>
              <w:t>1</w:t>
            </w:r>
          </w:p>
        </w:tc>
        <w:tc>
          <w:tcPr>
            <w:tcW w:w="0" w:type="auto"/>
            <w:tcBorders>
              <w:top w:val="single" w:sz="12" w:space="0" w:color="auto"/>
              <w:bottom w:val="single" w:sz="12" w:space="0" w:color="auto"/>
            </w:tcBorders>
            <w:shd w:val="clear" w:color="auto" w:fill="auto"/>
          </w:tcPr>
          <w:p w:rsidR="00781B6D" w:rsidRPr="00D11646" w:rsidRDefault="00781B6D" w:rsidP="00D11646">
            <w:pPr>
              <w:pStyle w:val="TableCaption"/>
              <w:keepNext/>
              <w:rPr>
                <w:kern w:val="16"/>
              </w:rPr>
            </w:pPr>
            <w:r w:rsidRPr="00D11646">
              <w:rPr>
                <w:kern w:val="16"/>
              </w:rPr>
              <w:t>2.1</w:t>
            </w:r>
          </w:p>
        </w:tc>
        <w:tc>
          <w:tcPr>
            <w:tcW w:w="0" w:type="auto"/>
            <w:tcBorders>
              <w:top w:val="single" w:sz="12" w:space="0" w:color="auto"/>
              <w:bottom w:val="single" w:sz="12" w:space="0" w:color="auto"/>
            </w:tcBorders>
            <w:shd w:val="clear" w:color="auto" w:fill="auto"/>
          </w:tcPr>
          <w:p w:rsidR="00781B6D" w:rsidRPr="00D11646" w:rsidRDefault="00781B6D" w:rsidP="00D11646">
            <w:pPr>
              <w:pStyle w:val="TableCaption"/>
              <w:keepNext/>
              <w:rPr>
                <w:kern w:val="16"/>
              </w:rPr>
            </w:pPr>
            <w:r w:rsidRPr="00D11646">
              <w:rPr>
                <w:kern w:val="16"/>
              </w:rPr>
              <w:t>3</w:t>
            </w:r>
          </w:p>
        </w:tc>
        <w:tc>
          <w:tcPr>
            <w:tcW w:w="0" w:type="auto"/>
            <w:tcBorders>
              <w:top w:val="single" w:sz="12" w:space="0" w:color="auto"/>
              <w:bottom w:val="single" w:sz="12" w:space="0" w:color="auto"/>
            </w:tcBorders>
            <w:shd w:val="clear" w:color="auto" w:fill="auto"/>
          </w:tcPr>
          <w:p w:rsidR="00781B6D" w:rsidRPr="00D11646" w:rsidRDefault="00781B6D" w:rsidP="00D11646">
            <w:pPr>
              <w:pStyle w:val="TableCaption"/>
              <w:keepNext/>
              <w:rPr>
                <w:kern w:val="16"/>
              </w:rPr>
            </w:pPr>
            <w:r w:rsidRPr="00D11646">
              <w:rPr>
                <w:kern w:val="16"/>
              </w:rPr>
              <w:t>4.1</w:t>
            </w:r>
          </w:p>
        </w:tc>
        <w:tc>
          <w:tcPr>
            <w:tcW w:w="0" w:type="auto"/>
            <w:tcBorders>
              <w:top w:val="single" w:sz="12" w:space="0" w:color="auto"/>
              <w:bottom w:val="single" w:sz="12" w:space="0" w:color="auto"/>
            </w:tcBorders>
            <w:shd w:val="clear" w:color="auto" w:fill="auto"/>
          </w:tcPr>
          <w:p w:rsidR="00781B6D" w:rsidRPr="00D11646" w:rsidRDefault="00781B6D" w:rsidP="00D11646">
            <w:pPr>
              <w:pStyle w:val="TableCaption"/>
              <w:keepNext/>
              <w:rPr>
                <w:kern w:val="16"/>
              </w:rPr>
            </w:pPr>
            <w:r w:rsidRPr="00D11646">
              <w:rPr>
                <w:kern w:val="16"/>
              </w:rPr>
              <w:t>5</w:t>
            </w:r>
          </w:p>
        </w:tc>
        <w:tc>
          <w:tcPr>
            <w:tcW w:w="0" w:type="auto"/>
            <w:tcBorders>
              <w:top w:val="single" w:sz="12" w:space="0" w:color="auto"/>
              <w:bottom w:val="single" w:sz="12" w:space="0" w:color="auto"/>
            </w:tcBorders>
            <w:shd w:val="clear" w:color="auto" w:fill="auto"/>
          </w:tcPr>
          <w:p w:rsidR="00781B6D" w:rsidRPr="00D11646" w:rsidRDefault="00781B6D" w:rsidP="00D11646">
            <w:pPr>
              <w:pStyle w:val="TableCaption"/>
              <w:keepNext/>
              <w:rPr>
                <w:kern w:val="16"/>
              </w:rPr>
            </w:pPr>
            <w:r w:rsidRPr="00D11646">
              <w:rPr>
                <w:kern w:val="16"/>
              </w:rPr>
              <w:t>6</w:t>
            </w:r>
          </w:p>
        </w:tc>
        <w:tc>
          <w:tcPr>
            <w:tcW w:w="0" w:type="auto"/>
            <w:tcBorders>
              <w:top w:val="single" w:sz="12" w:space="0" w:color="auto"/>
              <w:bottom w:val="single" w:sz="12" w:space="0" w:color="auto"/>
              <w:right w:val="nil"/>
            </w:tcBorders>
            <w:shd w:val="clear" w:color="auto" w:fill="auto"/>
          </w:tcPr>
          <w:p w:rsidR="00781B6D" w:rsidRPr="00D11646" w:rsidRDefault="00781B6D" w:rsidP="00D11646">
            <w:pPr>
              <w:pStyle w:val="TableCaption"/>
              <w:keepNext/>
              <w:rPr>
                <w:kern w:val="16"/>
              </w:rPr>
            </w:pPr>
            <w:r w:rsidRPr="00D11646">
              <w:rPr>
                <w:kern w:val="16"/>
              </w:rPr>
              <w:t>7.3</w:t>
            </w:r>
          </w:p>
        </w:tc>
      </w:tr>
      <w:tr w:rsidR="000C2401" w:rsidRPr="00D11646" w:rsidTr="009C21D3">
        <w:trPr>
          <w:jc w:val="center"/>
        </w:trPr>
        <w:tc>
          <w:tcPr>
            <w:tcW w:w="1677" w:type="dxa"/>
            <w:tcBorders>
              <w:top w:val="single" w:sz="12" w:space="0" w:color="auto"/>
              <w:left w:val="nil"/>
              <w:right w:val="single" w:sz="4" w:space="0" w:color="auto"/>
            </w:tcBorders>
            <w:shd w:val="clear" w:color="auto" w:fill="auto"/>
          </w:tcPr>
          <w:p w:rsidR="00781B6D" w:rsidRPr="00D11646" w:rsidRDefault="00781B6D" w:rsidP="00D869C2">
            <w:pPr>
              <w:pStyle w:val="TableCaption"/>
              <w:keepNext/>
              <w:jc w:val="left"/>
              <w:rPr>
                <w:kern w:val="16"/>
              </w:rPr>
            </w:pPr>
            <w:r w:rsidRPr="00D11646">
              <w:rPr>
                <w:kern w:val="16"/>
              </w:rPr>
              <w:t>Transport</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12" w:space="0" w:color="auto"/>
              <w:left w:val="single" w:sz="4" w:space="0" w:color="auto"/>
              <w:bottom w:val="single" w:sz="4" w:space="0" w:color="auto"/>
              <w:right w:val="single" w:sz="4" w:space="0" w:color="auto"/>
            </w:tcBorders>
            <w:shd w:val="clear" w:color="auto" w:fill="auto"/>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12" w:space="0" w:color="auto"/>
              <w:left w:val="single" w:sz="4" w:space="0" w:color="auto"/>
              <w:bottom w:val="single" w:sz="4" w:space="0" w:color="auto"/>
              <w:right w:val="nil"/>
            </w:tcBorders>
            <w:shd w:val="clear" w:color="auto" w:fill="auto"/>
          </w:tcPr>
          <w:p w:rsidR="00781B6D" w:rsidRPr="00C36F6E" w:rsidRDefault="00781B6D" w:rsidP="00D869C2">
            <w:pPr>
              <w:pStyle w:val="TableCaption"/>
              <w:keepNext/>
              <w:jc w:val="left"/>
              <w:rPr>
                <w:kern w:val="16"/>
                <w:sz w:val="18"/>
                <w:szCs w:val="18"/>
              </w:rPr>
            </w:pPr>
          </w:p>
        </w:tc>
      </w:tr>
      <w:tr w:rsidR="000C2401" w:rsidRPr="00D11646" w:rsidTr="002C03C8">
        <w:trPr>
          <w:jc w:val="center"/>
        </w:trPr>
        <w:tc>
          <w:tcPr>
            <w:tcW w:w="1677" w:type="dxa"/>
            <w:tcBorders>
              <w:left w:val="nil"/>
              <w:right w:val="single" w:sz="4" w:space="0" w:color="auto"/>
            </w:tcBorders>
          </w:tcPr>
          <w:p w:rsidR="00781B6D" w:rsidRPr="00D11646" w:rsidRDefault="00C36F6E" w:rsidP="00D869C2">
            <w:pPr>
              <w:pStyle w:val="TableCaption"/>
              <w:keepNext/>
              <w:jc w:val="left"/>
              <w:rPr>
                <w:kern w:val="16"/>
              </w:rPr>
            </w:pPr>
            <w:r>
              <w:rPr>
                <w:kern w:val="16"/>
              </w:rPr>
              <w:t>S</w:t>
            </w:r>
            <w:r w:rsidR="00781B6D" w:rsidRPr="00D11646">
              <w:rPr>
                <w:kern w:val="16"/>
              </w:rPr>
              <w:t>low venting</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p>
        </w:tc>
      </w:tr>
      <w:tr w:rsidR="000C2401" w:rsidRPr="00D11646" w:rsidTr="002C03C8">
        <w:trPr>
          <w:jc w:val="center"/>
        </w:trPr>
        <w:tc>
          <w:tcPr>
            <w:tcW w:w="1677" w:type="dxa"/>
            <w:tcBorders>
              <w:left w:val="nil"/>
              <w:right w:val="single" w:sz="4" w:space="0" w:color="auto"/>
            </w:tcBorders>
          </w:tcPr>
          <w:p w:rsidR="00781B6D" w:rsidRPr="00D11646" w:rsidRDefault="00C36F6E" w:rsidP="00D869C2">
            <w:pPr>
              <w:pStyle w:val="TableCaption"/>
              <w:keepNext/>
              <w:jc w:val="left"/>
              <w:rPr>
                <w:kern w:val="16"/>
              </w:rPr>
            </w:pPr>
            <w:r>
              <w:rPr>
                <w:kern w:val="16"/>
              </w:rPr>
              <w:t>R</w:t>
            </w:r>
            <w:r w:rsidR="00781B6D" w:rsidRPr="00D11646">
              <w:rPr>
                <w:kern w:val="16"/>
              </w:rPr>
              <w:t>emove pumping port</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p>
        </w:tc>
      </w:tr>
      <w:tr w:rsidR="000C2401" w:rsidRPr="00D11646" w:rsidTr="002C03C8">
        <w:trPr>
          <w:jc w:val="center"/>
        </w:trPr>
        <w:tc>
          <w:tcPr>
            <w:tcW w:w="1677" w:type="dxa"/>
            <w:tcBorders>
              <w:left w:val="nil"/>
              <w:right w:val="single" w:sz="4" w:space="0" w:color="auto"/>
            </w:tcBorders>
          </w:tcPr>
          <w:p w:rsidR="00781B6D" w:rsidRPr="00D11646" w:rsidRDefault="00C36F6E" w:rsidP="00D869C2">
            <w:pPr>
              <w:pStyle w:val="TableCaption"/>
              <w:keepNext/>
              <w:jc w:val="left"/>
              <w:rPr>
                <w:kern w:val="16"/>
              </w:rPr>
            </w:pPr>
            <w:r>
              <w:rPr>
                <w:kern w:val="16"/>
              </w:rPr>
              <w:t>D</w:t>
            </w:r>
            <w:r w:rsidR="00781B6D" w:rsidRPr="00D11646">
              <w:rPr>
                <w:kern w:val="16"/>
              </w:rPr>
              <w:t>ismount   accessories</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p>
        </w:tc>
      </w:tr>
      <w:tr w:rsidR="000C2401" w:rsidRPr="00D11646" w:rsidTr="002C03C8">
        <w:trPr>
          <w:jc w:val="center"/>
        </w:trPr>
        <w:tc>
          <w:tcPr>
            <w:tcW w:w="1677" w:type="dxa"/>
            <w:tcBorders>
              <w:left w:val="nil"/>
              <w:right w:val="single" w:sz="4" w:space="0" w:color="auto"/>
            </w:tcBorders>
          </w:tcPr>
          <w:p w:rsidR="00781B6D" w:rsidRPr="00D11646" w:rsidRDefault="00781B6D" w:rsidP="00D869C2">
            <w:pPr>
              <w:pStyle w:val="TableCaption"/>
              <w:keepNext/>
              <w:jc w:val="left"/>
              <w:rPr>
                <w:kern w:val="16"/>
              </w:rPr>
            </w:pPr>
            <w:r w:rsidRPr="00D11646">
              <w:rPr>
                <w:kern w:val="16"/>
              </w:rPr>
              <w:t>Main EP</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r>
      <w:tr w:rsidR="000C2401" w:rsidRPr="00D11646" w:rsidTr="002C03C8">
        <w:trPr>
          <w:jc w:val="center"/>
        </w:trPr>
        <w:tc>
          <w:tcPr>
            <w:tcW w:w="1677" w:type="dxa"/>
            <w:tcBorders>
              <w:left w:val="nil"/>
              <w:right w:val="single" w:sz="4" w:space="0" w:color="auto"/>
            </w:tcBorders>
          </w:tcPr>
          <w:p w:rsidR="00781B6D" w:rsidRPr="00D11646" w:rsidRDefault="00781B6D" w:rsidP="00D869C2">
            <w:pPr>
              <w:pStyle w:val="TableCaption"/>
              <w:keepNext/>
              <w:jc w:val="left"/>
              <w:rPr>
                <w:kern w:val="16"/>
              </w:rPr>
            </w:pPr>
            <w:r w:rsidRPr="00D11646">
              <w:rPr>
                <w:kern w:val="16"/>
              </w:rPr>
              <w:t>BCP flash treatment</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r>
      <w:tr w:rsidR="000C2401" w:rsidRPr="00D11646" w:rsidTr="002C03C8">
        <w:trPr>
          <w:jc w:val="center"/>
        </w:trPr>
        <w:tc>
          <w:tcPr>
            <w:tcW w:w="1677" w:type="dxa"/>
            <w:tcBorders>
              <w:left w:val="nil"/>
              <w:right w:val="single" w:sz="4" w:space="0" w:color="auto"/>
            </w:tcBorders>
          </w:tcPr>
          <w:p w:rsidR="00781B6D" w:rsidRPr="00D11646" w:rsidRDefault="00C36F6E" w:rsidP="00D869C2">
            <w:pPr>
              <w:pStyle w:val="TableCaption"/>
              <w:keepNext/>
              <w:jc w:val="left"/>
              <w:rPr>
                <w:kern w:val="16"/>
              </w:rPr>
            </w:pPr>
            <w:r>
              <w:rPr>
                <w:kern w:val="16"/>
              </w:rPr>
              <w:t>I</w:t>
            </w:r>
            <w:r w:rsidR="00781B6D" w:rsidRPr="00D11646">
              <w:rPr>
                <w:kern w:val="16"/>
              </w:rPr>
              <w:t>nstall all accessories</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r>
      <w:tr w:rsidR="000C2401" w:rsidRPr="00D11646" w:rsidTr="002C03C8">
        <w:trPr>
          <w:jc w:val="center"/>
        </w:trPr>
        <w:tc>
          <w:tcPr>
            <w:tcW w:w="1677" w:type="dxa"/>
            <w:tcBorders>
              <w:left w:val="nil"/>
              <w:right w:val="single" w:sz="4" w:space="0" w:color="auto"/>
            </w:tcBorders>
          </w:tcPr>
          <w:p w:rsidR="00781B6D" w:rsidRPr="00D11646" w:rsidRDefault="00781B6D" w:rsidP="00D869C2">
            <w:pPr>
              <w:pStyle w:val="TableCaption"/>
              <w:keepNext/>
              <w:jc w:val="left"/>
              <w:rPr>
                <w:kern w:val="16"/>
              </w:rPr>
            </w:pPr>
            <w:r w:rsidRPr="00D11646">
              <w:rPr>
                <w:kern w:val="16"/>
              </w:rPr>
              <w:t>HPR 1</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r>
      <w:tr w:rsidR="000C2401" w:rsidRPr="00D11646" w:rsidTr="002C03C8">
        <w:trPr>
          <w:jc w:val="center"/>
        </w:trPr>
        <w:tc>
          <w:tcPr>
            <w:tcW w:w="1677" w:type="dxa"/>
            <w:tcBorders>
              <w:left w:val="nil"/>
              <w:right w:val="single" w:sz="4" w:space="0" w:color="auto"/>
            </w:tcBorders>
          </w:tcPr>
          <w:p w:rsidR="00781B6D" w:rsidRPr="00D11646" w:rsidRDefault="00781B6D" w:rsidP="00D869C2">
            <w:pPr>
              <w:pStyle w:val="TableCaption"/>
              <w:keepNext/>
              <w:jc w:val="left"/>
              <w:rPr>
                <w:kern w:val="16"/>
              </w:rPr>
            </w:pPr>
            <w:r w:rsidRPr="00D11646">
              <w:rPr>
                <w:kern w:val="16"/>
              </w:rPr>
              <w:t>HPR 2</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p>
        </w:tc>
      </w:tr>
      <w:tr w:rsidR="000C2401" w:rsidRPr="00D11646" w:rsidTr="002C03C8">
        <w:trPr>
          <w:jc w:val="center"/>
        </w:trPr>
        <w:tc>
          <w:tcPr>
            <w:tcW w:w="1677" w:type="dxa"/>
            <w:tcBorders>
              <w:left w:val="nil"/>
              <w:right w:val="single" w:sz="4" w:space="0" w:color="auto"/>
            </w:tcBorders>
          </w:tcPr>
          <w:p w:rsidR="00781B6D" w:rsidRPr="00D11646" w:rsidRDefault="00C36F6E" w:rsidP="00D869C2">
            <w:pPr>
              <w:pStyle w:val="TableCaption"/>
              <w:keepNext/>
              <w:jc w:val="left"/>
              <w:rPr>
                <w:kern w:val="16"/>
              </w:rPr>
            </w:pPr>
            <w:r>
              <w:rPr>
                <w:kern w:val="16"/>
              </w:rPr>
              <w:t>M</w:t>
            </w:r>
            <w:r w:rsidR="00781B6D" w:rsidRPr="00D11646">
              <w:rPr>
                <w:kern w:val="16"/>
              </w:rPr>
              <w:t>ount pumping port</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r>
      <w:tr w:rsidR="000C2401" w:rsidRPr="00D11646" w:rsidTr="009C21D3">
        <w:trPr>
          <w:jc w:val="center"/>
        </w:trPr>
        <w:tc>
          <w:tcPr>
            <w:tcW w:w="1677" w:type="dxa"/>
            <w:tcBorders>
              <w:left w:val="nil"/>
              <w:bottom w:val="single" w:sz="4" w:space="0" w:color="auto"/>
              <w:right w:val="single" w:sz="4" w:space="0" w:color="auto"/>
            </w:tcBorders>
          </w:tcPr>
          <w:p w:rsidR="00781B6D" w:rsidRPr="00D11646" w:rsidRDefault="00C36F6E" w:rsidP="00D869C2">
            <w:pPr>
              <w:pStyle w:val="TableCaption"/>
              <w:keepNext/>
              <w:jc w:val="left"/>
              <w:rPr>
                <w:kern w:val="16"/>
              </w:rPr>
            </w:pPr>
            <w:r>
              <w:rPr>
                <w:kern w:val="16"/>
              </w:rPr>
              <w:t>S</w:t>
            </w:r>
            <w:r w:rsidR="00781B6D" w:rsidRPr="00D11646">
              <w:rPr>
                <w:kern w:val="16"/>
              </w:rPr>
              <w:t>low pumping</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4" w:space="0" w:color="auto"/>
              <w:right w:val="nil"/>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r>
      <w:tr w:rsidR="000C2401" w:rsidRPr="00D11646" w:rsidTr="009C21D3">
        <w:trPr>
          <w:jc w:val="center"/>
        </w:trPr>
        <w:tc>
          <w:tcPr>
            <w:tcW w:w="1677" w:type="dxa"/>
            <w:tcBorders>
              <w:left w:val="nil"/>
              <w:bottom w:val="single" w:sz="12" w:space="0" w:color="auto"/>
              <w:right w:val="single" w:sz="4" w:space="0" w:color="auto"/>
            </w:tcBorders>
          </w:tcPr>
          <w:p w:rsidR="00781B6D" w:rsidRPr="00D11646" w:rsidRDefault="00781B6D" w:rsidP="00D869C2">
            <w:pPr>
              <w:pStyle w:val="TableCaption"/>
              <w:keepNext/>
              <w:jc w:val="left"/>
              <w:rPr>
                <w:kern w:val="16"/>
              </w:rPr>
            </w:pPr>
            <w:r w:rsidRPr="00D11646">
              <w:rPr>
                <w:kern w:val="16"/>
              </w:rPr>
              <w:t>120 C baking</w:t>
            </w:r>
          </w:p>
        </w:tc>
        <w:tc>
          <w:tcPr>
            <w:tcW w:w="0" w:type="auto"/>
            <w:tcBorders>
              <w:top w:val="single" w:sz="4" w:space="0" w:color="auto"/>
              <w:left w:val="single" w:sz="4" w:space="0" w:color="auto"/>
              <w:bottom w:val="single" w:sz="12"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12"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12"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12"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12"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12" w:space="0" w:color="auto"/>
              <w:right w:val="single" w:sz="4" w:space="0" w:color="auto"/>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c>
          <w:tcPr>
            <w:tcW w:w="0" w:type="auto"/>
            <w:tcBorders>
              <w:top w:val="single" w:sz="4" w:space="0" w:color="auto"/>
              <w:left w:val="single" w:sz="4" w:space="0" w:color="auto"/>
              <w:bottom w:val="single" w:sz="12" w:space="0" w:color="auto"/>
              <w:right w:val="single" w:sz="4" w:space="0" w:color="auto"/>
            </w:tcBorders>
          </w:tcPr>
          <w:p w:rsidR="00781B6D" w:rsidRPr="00C36F6E" w:rsidRDefault="00781B6D" w:rsidP="00D869C2">
            <w:pPr>
              <w:pStyle w:val="TableCaption"/>
              <w:keepNext/>
              <w:jc w:val="left"/>
              <w:rPr>
                <w:kern w:val="16"/>
                <w:sz w:val="18"/>
                <w:szCs w:val="18"/>
              </w:rPr>
            </w:pPr>
          </w:p>
        </w:tc>
        <w:tc>
          <w:tcPr>
            <w:tcW w:w="0" w:type="auto"/>
            <w:tcBorders>
              <w:top w:val="single" w:sz="4" w:space="0" w:color="auto"/>
              <w:left w:val="single" w:sz="4" w:space="0" w:color="auto"/>
              <w:bottom w:val="single" w:sz="12" w:space="0" w:color="auto"/>
              <w:right w:val="nil"/>
            </w:tcBorders>
          </w:tcPr>
          <w:p w:rsidR="00781B6D" w:rsidRPr="00C36F6E" w:rsidRDefault="00781B6D" w:rsidP="00D869C2">
            <w:pPr>
              <w:pStyle w:val="TableCaption"/>
              <w:keepNext/>
              <w:jc w:val="left"/>
              <w:rPr>
                <w:kern w:val="16"/>
                <w:sz w:val="18"/>
                <w:szCs w:val="18"/>
              </w:rPr>
            </w:pPr>
            <w:r w:rsidRPr="00C36F6E">
              <w:rPr>
                <w:kern w:val="16"/>
                <w:sz w:val="18"/>
                <w:szCs w:val="18"/>
              </w:rPr>
              <w:t>X</w:t>
            </w:r>
          </w:p>
        </w:tc>
      </w:tr>
    </w:tbl>
    <w:p w:rsidR="0095536E" w:rsidRDefault="0095536E" w:rsidP="007B3169">
      <w:pPr>
        <w:pStyle w:val="Lgende"/>
        <w:rPr>
          <w:b w:val="0"/>
        </w:rPr>
      </w:pPr>
    </w:p>
    <w:p w:rsidR="00B270B3" w:rsidRDefault="00131CD1" w:rsidP="00BF5A52">
      <w:r>
        <w:t xml:space="preserve">The final qualification of the main EP at EZ two serial cavities </w:t>
      </w:r>
      <w:r w:rsidR="00F366B7">
        <w:t>(</w:t>
      </w:r>
      <w:r>
        <w:t xml:space="preserve">CAV599 and CAV600) passed the </w:t>
      </w:r>
      <w:r w:rsidR="00F366B7">
        <w:t xml:space="preserve">complete </w:t>
      </w:r>
      <w:r>
        <w:t xml:space="preserve">treatment cycle of BCP flash with main </w:t>
      </w:r>
      <w:r w:rsidR="00F366B7">
        <w:t xml:space="preserve">EP </w:t>
      </w:r>
      <w:r>
        <w:t xml:space="preserve">done at EZ. Both of them reached above </w:t>
      </w:r>
      <w:r w:rsidR="007840DE">
        <w:t>30 MV/m without field emission.</w:t>
      </w:r>
    </w:p>
    <w:p w:rsidR="001F4D76" w:rsidRPr="00571EE6" w:rsidRDefault="001F4D76" w:rsidP="001F4D76">
      <w:pPr>
        <w:pStyle w:val="Titre3"/>
        <w:rPr>
          <w:kern w:val="16"/>
        </w:rPr>
      </w:pPr>
      <w:r w:rsidRPr="00571EE6">
        <w:rPr>
          <w:kern w:val="16"/>
        </w:rPr>
        <w:t>Ramp up of</w:t>
      </w:r>
      <w:r w:rsidR="0045008E">
        <w:rPr>
          <w:kern w:val="16"/>
        </w:rPr>
        <w:t xml:space="preserve"> P</w:t>
      </w:r>
      <w:r w:rsidRPr="00571EE6">
        <w:rPr>
          <w:kern w:val="16"/>
        </w:rPr>
        <w:t xml:space="preserve">roduction by PCV </w:t>
      </w:r>
      <w:r w:rsidR="0045008E">
        <w:rPr>
          <w:kern w:val="16"/>
        </w:rPr>
        <w:t>R</w:t>
      </w:r>
      <w:r w:rsidRPr="00571EE6">
        <w:rPr>
          <w:kern w:val="16"/>
        </w:rPr>
        <w:t xml:space="preserve">esonators </w:t>
      </w:r>
    </w:p>
    <w:p w:rsidR="001F4D76" w:rsidRDefault="001F4D76" w:rsidP="001F4D76">
      <w:pPr>
        <w:pStyle w:val="Retraitcorpsdetexte"/>
      </w:pPr>
      <w:r>
        <w:t>After release of the infrastructure t</w:t>
      </w:r>
      <w:r w:rsidRPr="00532355">
        <w:t>he first 8 cavities</w:t>
      </w:r>
      <w:r>
        <w:t xml:space="preserve"> named pre-series cavities (PCV) passed</w:t>
      </w:r>
      <w:r w:rsidRPr="00532355">
        <w:t xml:space="preserve"> the </w:t>
      </w:r>
      <w:r>
        <w:t>complete</w:t>
      </w:r>
      <w:r w:rsidRPr="00532355">
        <w:t xml:space="preserve"> cavity processing</w:t>
      </w:r>
      <w:r>
        <w:t xml:space="preserve"> for </w:t>
      </w:r>
      <w:r w:rsidRPr="00532355">
        <w:t>the first time</w:t>
      </w:r>
      <w:r>
        <w:t xml:space="preserve">. </w:t>
      </w:r>
    </w:p>
    <w:p w:rsidR="001F4D76" w:rsidRDefault="001F4D76" w:rsidP="001F4D76">
      <w:pPr>
        <w:pStyle w:val="BodyTextNoIndent"/>
        <w:ind w:firstLine="187"/>
      </w:pPr>
      <w:r w:rsidRPr="009F44EA">
        <w:t>The complete workflow of production, surface processing, quality control and handling by new personnel working in shifts with the new infrastructure had to be shown with this PCV cavities</w:t>
      </w:r>
      <w:r w:rsidR="004D7D9A">
        <w:t xml:space="preserve"> (Fig. </w:t>
      </w:r>
      <w:r>
        <w:t>4)</w:t>
      </w:r>
      <w:r w:rsidRPr="009F44EA">
        <w:t>.</w:t>
      </w:r>
      <w:r w:rsidRPr="001F4D76">
        <w:t xml:space="preserve"> </w:t>
      </w:r>
    </w:p>
    <w:p w:rsidR="001F4D76" w:rsidRDefault="001F4D76" w:rsidP="001F4D76">
      <w:pPr>
        <w:pStyle w:val="BodyTextNoIndent"/>
        <w:ind w:firstLine="187"/>
      </w:pPr>
      <w:r w:rsidRPr="009F44EA">
        <w:t>The cavities build according European Pressure Equipment Directive PED 97/23/EC [</w:t>
      </w:r>
      <w:r>
        <w:t>6</w:t>
      </w:r>
      <w:r w:rsidRPr="009F44EA">
        <w:t>] are</w:t>
      </w:r>
      <w:r>
        <w:t xml:space="preserve"> equipped with He-tank, HOM- High-Q and Pick up antennas. They </w:t>
      </w:r>
      <w:r>
        <w:lastRenderedPageBreak/>
        <w:t>are handed to DESY in “ready for string assembly” conditions. Relaxed conditions on time schedule and acceptance criteria as they are foreseen for series were accepted by DESY for the PCV resonators.</w:t>
      </w:r>
      <w:r w:rsidRPr="009F44EA">
        <w:t xml:space="preserve"> </w:t>
      </w:r>
    </w:p>
    <w:p w:rsidR="00197C08" w:rsidRDefault="00197C08" w:rsidP="001F4D76">
      <w:pPr>
        <w:pStyle w:val="BodyTextNoIndent"/>
        <w:ind w:firstLine="187"/>
        <w:rPr>
          <w:kern w:val="16"/>
        </w:rPr>
      </w:pPr>
    </w:p>
    <w:p w:rsidR="001F4D76" w:rsidRDefault="001F4D76" w:rsidP="00197C08">
      <w:pPr>
        <w:pStyle w:val="BodyTextNoIndent"/>
        <w:ind w:firstLine="187"/>
      </w:pPr>
      <w:r>
        <w:rPr>
          <w:kern w:val="16"/>
        </w:rPr>
        <w:t xml:space="preserve">The cavities CAV00511 andCAV00515 </w:t>
      </w:r>
      <w:r w:rsidRPr="005A1FF8">
        <w:rPr>
          <w:kern w:val="16"/>
        </w:rPr>
        <w:t xml:space="preserve">were limited </w:t>
      </w:r>
      <w:r>
        <w:rPr>
          <w:kern w:val="16"/>
        </w:rPr>
        <w:t>at low field by</w:t>
      </w:r>
      <w:r w:rsidRPr="005A1FF8">
        <w:rPr>
          <w:kern w:val="16"/>
        </w:rPr>
        <w:t xml:space="preserve"> </w:t>
      </w:r>
      <w:r>
        <w:rPr>
          <w:kern w:val="16"/>
        </w:rPr>
        <w:t>field emission caused by</w:t>
      </w:r>
      <w:r w:rsidRPr="005A1FF8">
        <w:rPr>
          <w:kern w:val="16"/>
        </w:rPr>
        <w:t xml:space="preserve"> ramp up problems. After additional HPR the</w:t>
      </w:r>
      <w:r>
        <w:rPr>
          <w:kern w:val="16"/>
        </w:rPr>
        <w:t>y p</w:t>
      </w:r>
      <w:r w:rsidRPr="005A1FF8">
        <w:rPr>
          <w:kern w:val="16"/>
        </w:rPr>
        <w:t>e</w:t>
      </w:r>
      <w:r>
        <w:rPr>
          <w:kern w:val="16"/>
        </w:rPr>
        <w:t>r</w:t>
      </w:r>
      <w:r w:rsidRPr="005A1FF8">
        <w:rPr>
          <w:kern w:val="16"/>
        </w:rPr>
        <w:t>formed at 26.2 resp</w:t>
      </w:r>
      <w:r>
        <w:rPr>
          <w:kern w:val="16"/>
        </w:rPr>
        <w:t>. 27.7 MV /m</w:t>
      </w:r>
      <w:r w:rsidRPr="005A1FF8">
        <w:rPr>
          <w:kern w:val="16"/>
        </w:rPr>
        <w:t xml:space="preserve"> without field emission l</w:t>
      </w:r>
      <w:r>
        <w:rPr>
          <w:kern w:val="16"/>
        </w:rPr>
        <w:t>oading.</w:t>
      </w:r>
      <w:r w:rsidR="00205E01" w:rsidRPr="00205E01" w:rsidDel="00205E01">
        <w:rPr>
          <w:noProof/>
          <w:kern w:val="16"/>
          <w:lang w:val="en-US"/>
        </w:rPr>
        <w:t xml:space="preserve"> </w:t>
      </w:r>
    </w:p>
    <w:p w:rsidR="00205E01" w:rsidRDefault="00205E01" w:rsidP="00091532">
      <w:pPr>
        <w:pStyle w:val="BodyTextNoIndent"/>
        <w:ind w:firstLine="187"/>
      </w:pPr>
      <w:r w:rsidRPr="00091532">
        <w:rPr>
          <w:noProof/>
          <w:kern w:val="16"/>
          <w:lang w:val="en-US"/>
        </w:rPr>
        <w:drawing>
          <wp:anchor distT="0" distB="0" distL="114300" distR="114300" simplePos="0" relativeHeight="251660288" behindDoc="0" locked="0" layoutInCell="1" allowOverlap="1" wp14:anchorId="7C1BE5DE" wp14:editId="554E818A">
            <wp:simplePos x="0" y="0"/>
            <wp:positionH relativeFrom="column">
              <wp:posOffset>58420</wp:posOffset>
            </wp:positionH>
            <wp:positionV relativeFrom="paragraph">
              <wp:posOffset>181610</wp:posOffset>
            </wp:positionV>
            <wp:extent cx="2748915" cy="2286000"/>
            <wp:effectExtent l="0" t="0" r="13335" b="19050"/>
            <wp:wrapTopAndBottom/>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4448E9" w:rsidRDefault="004448E9" w:rsidP="006E6D0B">
      <w:pPr>
        <w:pStyle w:val="FigureCaptionMultiLine"/>
      </w:pPr>
      <w:r>
        <w:t>Fig</w:t>
      </w:r>
      <w:r w:rsidR="006E6D0B">
        <w:t>ure</w:t>
      </w:r>
      <w:r w:rsidR="008F6BF2">
        <w:t xml:space="preserve"> </w:t>
      </w:r>
      <w:r w:rsidR="009103D6">
        <w:t>4</w:t>
      </w:r>
      <w:r w:rsidR="008F6BF2">
        <w:t>:</w:t>
      </w:r>
      <w:r>
        <w:t xml:space="preserve"> T</w:t>
      </w:r>
      <w:r w:rsidRPr="00AC78D2">
        <w:t xml:space="preserve">est results of the eight pre series cavities made by </w:t>
      </w:r>
      <w:proofErr w:type="spellStart"/>
      <w:r w:rsidRPr="00AC78D2">
        <w:t>E</w:t>
      </w:r>
      <w:r w:rsidR="00DF17D0">
        <w:t>ttore</w:t>
      </w:r>
      <w:proofErr w:type="spellEnd"/>
      <w:r w:rsidR="00DF17D0">
        <w:t xml:space="preserve"> </w:t>
      </w:r>
      <w:proofErr w:type="spellStart"/>
      <w:r w:rsidRPr="00AC78D2">
        <w:t>Zano</w:t>
      </w:r>
      <w:r>
        <w:t>n</w:t>
      </w:r>
      <w:proofErr w:type="spellEnd"/>
      <w:r w:rsidR="007840DE">
        <w:t>.</w:t>
      </w:r>
    </w:p>
    <w:p w:rsidR="001F4D76" w:rsidRDefault="001F4D76" w:rsidP="001F4D76"/>
    <w:p w:rsidR="00BD7331" w:rsidRDefault="00BD7331" w:rsidP="005A1FF8">
      <w:pPr>
        <w:pStyle w:val="Retraitcorpsdetexte"/>
        <w:rPr>
          <w:kern w:val="16"/>
        </w:rPr>
      </w:pPr>
      <w:r w:rsidRPr="005A1FF8">
        <w:rPr>
          <w:kern w:val="16"/>
        </w:rPr>
        <w:t>Two other PCV cavities</w:t>
      </w:r>
      <w:r w:rsidR="00197C08">
        <w:rPr>
          <w:kern w:val="16"/>
        </w:rPr>
        <w:t>,</w:t>
      </w:r>
      <w:r w:rsidRPr="005A1FF8">
        <w:rPr>
          <w:kern w:val="16"/>
        </w:rPr>
        <w:t xml:space="preserve"> </w:t>
      </w:r>
      <w:r w:rsidR="007C0016">
        <w:rPr>
          <w:kern w:val="16"/>
        </w:rPr>
        <w:t>CAV00</w:t>
      </w:r>
      <w:r w:rsidR="002523A0">
        <w:rPr>
          <w:kern w:val="16"/>
        </w:rPr>
        <w:t xml:space="preserve">513 and </w:t>
      </w:r>
      <w:r w:rsidR="007C0016">
        <w:rPr>
          <w:kern w:val="16"/>
        </w:rPr>
        <w:t>CAV00</w:t>
      </w:r>
      <w:r w:rsidR="002523A0">
        <w:rPr>
          <w:kern w:val="16"/>
        </w:rPr>
        <w:t>516</w:t>
      </w:r>
      <w:r w:rsidR="00197C08">
        <w:rPr>
          <w:kern w:val="16"/>
        </w:rPr>
        <w:t>,</w:t>
      </w:r>
      <w:r w:rsidR="002523A0">
        <w:rPr>
          <w:kern w:val="16"/>
        </w:rPr>
        <w:t xml:space="preserve"> </w:t>
      </w:r>
      <w:r w:rsidRPr="005A1FF8">
        <w:rPr>
          <w:kern w:val="16"/>
        </w:rPr>
        <w:t>are limited</w:t>
      </w:r>
      <w:r w:rsidR="002523A0">
        <w:rPr>
          <w:kern w:val="16"/>
        </w:rPr>
        <w:t xml:space="preserve"> </w:t>
      </w:r>
      <w:r w:rsidR="002523A0" w:rsidRPr="005A1FF8">
        <w:rPr>
          <w:kern w:val="16"/>
        </w:rPr>
        <w:t>by quench</w:t>
      </w:r>
      <w:r w:rsidRPr="005A1FF8">
        <w:rPr>
          <w:kern w:val="16"/>
        </w:rPr>
        <w:t xml:space="preserve"> </w:t>
      </w:r>
      <w:r w:rsidR="00197C08">
        <w:rPr>
          <w:kern w:val="16"/>
        </w:rPr>
        <w:t xml:space="preserve">at 19 resp. 22 MV/m </w:t>
      </w:r>
      <w:r w:rsidR="00D5280E">
        <w:rPr>
          <w:kern w:val="16"/>
        </w:rPr>
        <w:t>without field</w:t>
      </w:r>
      <w:r w:rsidR="00D5280E" w:rsidRPr="00D5280E">
        <w:rPr>
          <w:kern w:val="16"/>
        </w:rPr>
        <w:t xml:space="preserve"> </w:t>
      </w:r>
      <w:r w:rsidR="00D5280E" w:rsidRPr="005A1FF8">
        <w:rPr>
          <w:kern w:val="16"/>
        </w:rPr>
        <w:t xml:space="preserve">emission </w:t>
      </w:r>
      <w:r w:rsidR="00D5280E">
        <w:rPr>
          <w:kern w:val="16"/>
        </w:rPr>
        <w:t>loading</w:t>
      </w:r>
      <w:r w:rsidR="00D5280E" w:rsidRPr="005A1FF8">
        <w:rPr>
          <w:kern w:val="16"/>
        </w:rPr>
        <w:t xml:space="preserve">. Origin of </w:t>
      </w:r>
      <w:r w:rsidR="00D5280E">
        <w:rPr>
          <w:kern w:val="16"/>
        </w:rPr>
        <w:t xml:space="preserve">this </w:t>
      </w:r>
      <w:r w:rsidR="00D5280E" w:rsidRPr="005A1FF8">
        <w:rPr>
          <w:kern w:val="16"/>
        </w:rPr>
        <w:t>li</w:t>
      </w:r>
      <w:r w:rsidR="00D5280E">
        <w:rPr>
          <w:kern w:val="16"/>
        </w:rPr>
        <w:t>mitation is under investigation.</w:t>
      </w:r>
    </w:p>
    <w:p w:rsidR="002320C6" w:rsidRPr="00682DFC" w:rsidRDefault="002320C6" w:rsidP="00682DFC">
      <w:pPr>
        <w:pStyle w:val="Titre2"/>
        <w:spacing w:before="180"/>
      </w:pPr>
      <w:r>
        <w:t>Series Cavity production</w:t>
      </w:r>
    </w:p>
    <w:p w:rsidR="00D928FF" w:rsidRPr="00197C08" w:rsidRDefault="00E41BD6" w:rsidP="00197C08">
      <w:pPr>
        <w:pStyle w:val="Retraitcorpsdetexte"/>
        <w:rPr>
          <w:kern w:val="16"/>
        </w:rPr>
      </w:pPr>
      <w:r w:rsidRPr="003919A2">
        <w:rPr>
          <w:kern w:val="16"/>
        </w:rPr>
        <w:t xml:space="preserve">Since </w:t>
      </w:r>
      <w:r w:rsidR="00D928FF">
        <w:rPr>
          <w:kern w:val="16"/>
        </w:rPr>
        <w:t xml:space="preserve">start of </w:t>
      </w:r>
      <w:r w:rsidR="00197C08">
        <w:rPr>
          <w:kern w:val="16"/>
        </w:rPr>
        <w:t xml:space="preserve">the </w:t>
      </w:r>
      <w:r w:rsidR="002320C6" w:rsidRPr="003919A2">
        <w:rPr>
          <w:kern w:val="16"/>
        </w:rPr>
        <w:t>pr</w:t>
      </w:r>
      <w:r w:rsidRPr="003919A2">
        <w:rPr>
          <w:kern w:val="16"/>
        </w:rPr>
        <w:t>o</w:t>
      </w:r>
      <w:r w:rsidR="002320C6" w:rsidRPr="003919A2">
        <w:rPr>
          <w:kern w:val="16"/>
        </w:rPr>
        <w:t>ductio</w:t>
      </w:r>
      <w:r w:rsidR="00F22E5B">
        <w:rPr>
          <w:kern w:val="16"/>
        </w:rPr>
        <w:t xml:space="preserve">n </w:t>
      </w:r>
      <w:r w:rsidR="00D928FF">
        <w:rPr>
          <w:kern w:val="16"/>
        </w:rPr>
        <w:t xml:space="preserve">of XFEL cavities in December 2012 </w:t>
      </w:r>
      <w:r w:rsidR="00D928FF" w:rsidRPr="00197C08">
        <w:rPr>
          <w:kern w:val="16"/>
        </w:rPr>
        <w:t xml:space="preserve">until KW 36 /2013 a total of </w:t>
      </w:r>
      <w:r w:rsidR="00D928FF">
        <w:rPr>
          <w:kern w:val="16"/>
        </w:rPr>
        <w:t>106</w:t>
      </w:r>
      <w:r w:rsidR="00091532">
        <w:rPr>
          <w:kern w:val="16"/>
        </w:rPr>
        <w:t xml:space="preserve"> cavities </w:t>
      </w:r>
      <w:proofErr w:type="spellStart"/>
      <w:r w:rsidR="00091532">
        <w:rPr>
          <w:kern w:val="16"/>
        </w:rPr>
        <w:t>a</w:t>
      </w:r>
      <w:r w:rsidRPr="003919A2">
        <w:rPr>
          <w:kern w:val="16"/>
        </w:rPr>
        <w:t>e</w:t>
      </w:r>
      <w:proofErr w:type="spellEnd"/>
      <w:r w:rsidRPr="003919A2">
        <w:rPr>
          <w:kern w:val="16"/>
        </w:rPr>
        <w:t xml:space="preserve"> handed out</w:t>
      </w:r>
      <w:r w:rsidR="00F22E5B">
        <w:rPr>
          <w:kern w:val="16"/>
        </w:rPr>
        <w:t xml:space="preserve"> to DESY</w:t>
      </w:r>
      <w:r w:rsidR="00D928FF">
        <w:rPr>
          <w:kern w:val="16"/>
        </w:rPr>
        <w:t>. Seventy nine of them are tested at 2 K</w:t>
      </w:r>
      <w:r w:rsidR="003A298D">
        <w:rPr>
          <w:kern w:val="16"/>
        </w:rPr>
        <w:t xml:space="preserve">. </w:t>
      </w:r>
      <w:r w:rsidR="00D928FF" w:rsidRPr="00197C08">
        <w:rPr>
          <w:kern w:val="16"/>
        </w:rPr>
        <w:t xml:space="preserve">Sixty seven of the handed out XFEL cavities are fabricated by DESY by </w:t>
      </w:r>
      <w:proofErr w:type="spellStart"/>
      <w:r w:rsidR="00D928FF" w:rsidRPr="00197C08">
        <w:rPr>
          <w:kern w:val="16"/>
        </w:rPr>
        <w:t>E</w:t>
      </w:r>
      <w:r w:rsidR="00F328AA">
        <w:rPr>
          <w:kern w:val="16"/>
        </w:rPr>
        <w:t>ttore</w:t>
      </w:r>
      <w:proofErr w:type="spellEnd"/>
      <w:r w:rsidR="00F328AA">
        <w:rPr>
          <w:kern w:val="16"/>
        </w:rPr>
        <w:t xml:space="preserve"> </w:t>
      </w:r>
      <w:proofErr w:type="spellStart"/>
      <w:r w:rsidR="00F328AA">
        <w:rPr>
          <w:kern w:val="16"/>
        </w:rPr>
        <w:t>Zanon</w:t>
      </w:r>
      <w:proofErr w:type="spellEnd"/>
      <w:r w:rsidR="00F328AA">
        <w:rPr>
          <w:kern w:val="16"/>
        </w:rPr>
        <w:t>.</w:t>
      </w:r>
    </w:p>
    <w:p w:rsidR="00AC78D2" w:rsidRDefault="003A298D" w:rsidP="003919A2">
      <w:pPr>
        <w:pStyle w:val="Retraitcorpsdetexte"/>
        <w:rPr>
          <w:kern w:val="16"/>
        </w:rPr>
      </w:pPr>
      <w:r>
        <w:rPr>
          <w:kern w:val="16"/>
        </w:rPr>
        <w:t xml:space="preserve">Delivery rates </w:t>
      </w:r>
      <w:r w:rsidR="00E41BD6" w:rsidRPr="003919A2">
        <w:rPr>
          <w:kern w:val="16"/>
        </w:rPr>
        <w:t>up to four SCV per week</w:t>
      </w:r>
      <w:r>
        <w:rPr>
          <w:kern w:val="16"/>
        </w:rPr>
        <w:t xml:space="preserve"> </w:t>
      </w:r>
      <w:r w:rsidR="00B5545D">
        <w:rPr>
          <w:kern w:val="16"/>
        </w:rPr>
        <w:t xml:space="preserve">will be reached </w:t>
      </w:r>
      <w:r w:rsidR="004B3DB8">
        <w:rPr>
          <w:kern w:val="16"/>
        </w:rPr>
        <w:t xml:space="preserve">by EZ </w:t>
      </w:r>
      <w:r w:rsidR="00B5545D">
        <w:rPr>
          <w:kern w:val="16"/>
        </w:rPr>
        <w:t>in Se</w:t>
      </w:r>
      <w:r w:rsidR="00995B5C">
        <w:rPr>
          <w:kern w:val="16"/>
        </w:rPr>
        <w:t>p</w:t>
      </w:r>
      <w:r w:rsidR="00B5545D">
        <w:rPr>
          <w:kern w:val="16"/>
        </w:rPr>
        <w:t xml:space="preserve">tember 2013. </w:t>
      </w:r>
      <w:r w:rsidR="00E41BD6" w:rsidRPr="003919A2">
        <w:rPr>
          <w:kern w:val="16"/>
        </w:rPr>
        <w:t xml:space="preserve"> Due to overloaded E</w:t>
      </w:r>
      <w:r w:rsidR="00E70DA6">
        <w:rPr>
          <w:kern w:val="16"/>
        </w:rPr>
        <w:t>P</w:t>
      </w:r>
      <w:r w:rsidR="00E41BD6" w:rsidRPr="003919A2">
        <w:rPr>
          <w:kern w:val="16"/>
        </w:rPr>
        <w:t xml:space="preserve"> </w:t>
      </w:r>
      <w:r w:rsidR="00E70DA6">
        <w:rPr>
          <w:kern w:val="16"/>
        </w:rPr>
        <w:t xml:space="preserve">facility </w:t>
      </w:r>
      <w:r w:rsidR="00E41BD6" w:rsidRPr="003919A2">
        <w:rPr>
          <w:kern w:val="16"/>
        </w:rPr>
        <w:t>at the subcontractor RI and a delay in qualification of the new EP facility at E.Z</w:t>
      </w:r>
      <w:r w:rsidR="00E14F13">
        <w:rPr>
          <w:kern w:val="16"/>
        </w:rPr>
        <w:t>.</w:t>
      </w:r>
      <w:r w:rsidR="00E41BD6" w:rsidRPr="003919A2">
        <w:rPr>
          <w:kern w:val="16"/>
        </w:rPr>
        <w:t xml:space="preserve"> </w:t>
      </w:r>
      <w:proofErr w:type="spellStart"/>
      <w:r w:rsidR="00E41BD6" w:rsidRPr="003919A2">
        <w:rPr>
          <w:kern w:val="16"/>
        </w:rPr>
        <w:t>S</w:t>
      </w:r>
      <w:r w:rsidR="0059229B">
        <w:rPr>
          <w:kern w:val="16"/>
        </w:rPr>
        <w:t>.p.</w:t>
      </w:r>
      <w:r w:rsidR="00E41BD6" w:rsidRPr="003919A2">
        <w:rPr>
          <w:kern w:val="16"/>
        </w:rPr>
        <w:t>A</w:t>
      </w:r>
      <w:proofErr w:type="spellEnd"/>
      <w:r w:rsidR="0059229B">
        <w:rPr>
          <w:kern w:val="16"/>
        </w:rPr>
        <w:t>.</w:t>
      </w:r>
      <w:r w:rsidR="00E41BD6" w:rsidRPr="003919A2">
        <w:rPr>
          <w:kern w:val="16"/>
        </w:rPr>
        <w:t xml:space="preserve"> </w:t>
      </w:r>
      <w:r w:rsidR="00D5280E">
        <w:rPr>
          <w:kern w:val="16"/>
        </w:rPr>
        <w:t>t</w:t>
      </w:r>
      <w:r w:rsidR="00E41BD6" w:rsidRPr="003919A2">
        <w:rPr>
          <w:kern w:val="16"/>
        </w:rPr>
        <w:t xml:space="preserve">his sequence </w:t>
      </w:r>
      <w:r w:rsidR="0059229B">
        <w:rPr>
          <w:kern w:val="16"/>
        </w:rPr>
        <w:t xml:space="preserve">was </w:t>
      </w:r>
      <w:r w:rsidR="00E41BD6" w:rsidRPr="003919A2">
        <w:rPr>
          <w:kern w:val="16"/>
        </w:rPr>
        <w:t>reduced to 2.5-3 SCV per week</w:t>
      </w:r>
      <w:r w:rsidR="00D5280E">
        <w:rPr>
          <w:kern w:val="16"/>
        </w:rPr>
        <w:t xml:space="preserve">. Since August 2013 </w:t>
      </w:r>
      <w:r>
        <w:rPr>
          <w:kern w:val="16"/>
        </w:rPr>
        <w:t xml:space="preserve">the EZ designed </w:t>
      </w:r>
      <w:r w:rsidR="00D5280E">
        <w:rPr>
          <w:kern w:val="16"/>
        </w:rPr>
        <w:t xml:space="preserve">main EP facility is qualified </w:t>
      </w:r>
      <w:r w:rsidR="00197C08" w:rsidRPr="003919A2">
        <w:rPr>
          <w:kern w:val="16"/>
        </w:rPr>
        <w:t>[</w:t>
      </w:r>
      <w:r w:rsidR="00197C08">
        <w:rPr>
          <w:kern w:val="16"/>
        </w:rPr>
        <w:t xml:space="preserve">4] </w:t>
      </w:r>
      <w:r w:rsidR="00D5280E">
        <w:rPr>
          <w:kern w:val="16"/>
        </w:rPr>
        <w:t>and ful</w:t>
      </w:r>
      <w:r w:rsidR="00AC78D2">
        <w:rPr>
          <w:kern w:val="16"/>
        </w:rPr>
        <w:t>l</w:t>
      </w:r>
      <w:r w:rsidR="00D5280E">
        <w:rPr>
          <w:kern w:val="16"/>
        </w:rPr>
        <w:t xml:space="preserve"> pr</w:t>
      </w:r>
      <w:r w:rsidR="00AC78D2">
        <w:rPr>
          <w:kern w:val="16"/>
        </w:rPr>
        <w:t>o</w:t>
      </w:r>
      <w:r w:rsidR="00D5280E">
        <w:rPr>
          <w:kern w:val="16"/>
        </w:rPr>
        <w:t>duc</w:t>
      </w:r>
      <w:r w:rsidR="00AC78D2">
        <w:rPr>
          <w:kern w:val="16"/>
        </w:rPr>
        <w:t>tion rate is re-established</w:t>
      </w:r>
      <w:r w:rsidR="004D7D9A">
        <w:rPr>
          <w:kern w:val="16"/>
        </w:rPr>
        <w:t xml:space="preserve"> (Fig. </w:t>
      </w:r>
      <w:r w:rsidR="009103D6">
        <w:rPr>
          <w:kern w:val="16"/>
        </w:rPr>
        <w:t>5)</w:t>
      </w:r>
      <w:r w:rsidR="004B3DB8">
        <w:rPr>
          <w:kern w:val="16"/>
        </w:rPr>
        <w:t>.</w:t>
      </w:r>
    </w:p>
    <w:p w:rsidR="00495C74" w:rsidRDefault="007840DE" w:rsidP="003919A2">
      <w:pPr>
        <w:pStyle w:val="Retraitcorpsdetexte"/>
        <w:rPr>
          <w:kern w:val="16"/>
        </w:rPr>
      </w:pPr>
      <w:r>
        <w:t>The fifty six EZ resonators tested until KW 36/13 reached a</w:t>
      </w:r>
      <w:r w:rsidRPr="00195092">
        <w:t>n average acceleration gradient of 2</w:t>
      </w:r>
      <w:r>
        <w:t>7.6</w:t>
      </w:r>
      <w:r w:rsidRPr="00195092">
        <w:t xml:space="preserve"> MV/m. The average </w:t>
      </w:r>
      <w:r>
        <w:t xml:space="preserve">of the </w:t>
      </w:r>
      <w:r w:rsidRPr="00195092">
        <w:t>usable gradient, defined by quality factor of Q &gt;1x10</w:t>
      </w:r>
      <w:r w:rsidRPr="00F739EC">
        <w:rPr>
          <w:vertAlign w:val="superscript"/>
        </w:rPr>
        <w:t xml:space="preserve">10 </w:t>
      </w:r>
      <w:r w:rsidRPr="00195092">
        <w:t>and field- emission level of &lt; 1x10</w:t>
      </w:r>
      <w:r w:rsidRPr="00F739EC">
        <w:rPr>
          <w:vertAlign w:val="superscript"/>
        </w:rPr>
        <w:t>-2</w:t>
      </w:r>
      <w:r w:rsidRPr="00195092">
        <w:t>-mGy/min, of these cavities is 2</w:t>
      </w:r>
      <w:r>
        <w:t>4</w:t>
      </w:r>
      <w:r w:rsidRPr="00195092">
        <w:t>.</w:t>
      </w:r>
      <w:r>
        <w:t>5</w:t>
      </w:r>
      <w:r w:rsidRPr="00195092">
        <w:t xml:space="preserve"> MV/m</w:t>
      </w:r>
      <w:r>
        <w:t xml:space="preserve"> in the first pass</w:t>
      </w:r>
      <w:r w:rsidRPr="00195092">
        <w:t>.</w:t>
      </w:r>
      <w:r>
        <w:t xml:space="preserve"> </w:t>
      </w:r>
      <w:r w:rsidRPr="00195092">
        <w:t xml:space="preserve">Thirty of the </w:t>
      </w:r>
      <w:r>
        <w:t xml:space="preserve">EZ </w:t>
      </w:r>
      <w:r w:rsidRPr="00195092">
        <w:t>cavities well exceeded gradient</w:t>
      </w:r>
      <w:r>
        <w:t xml:space="preserve">s of </w:t>
      </w:r>
      <w:r w:rsidRPr="00195092">
        <w:t>30 MV/m, one cavity reached up to 37MV /m w</w:t>
      </w:r>
      <w:r>
        <w:t>ithout field emission loading.</w:t>
      </w:r>
    </w:p>
    <w:p w:rsidR="00495C74" w:rsidRDefault="00495C74" w:rsidP="007840DE">
      <w:pPr>
        <w:jc w:val="center"/>
      </w:pPr>
      <w:r>
        <w:rPr>
          <w:noProof/>
          <w:lang w:val="en-US"/>
        </w:rPr>
        <w:lastRenderedPageBreak/>
        <w:drawing>
          <wp:inline distT="0" distB="0" distL="0" distR="0" wp14:anchorId="39101E63" wp14:editId="3A6A8864">
            <wp:extent cx="2968625" cy="1781175"/>
            <wp:effectExtent l="0" t="0" r="317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_09_94 062.jpg"/>
                    <pic:cNvPicPr/>
                  </pic:nvPicPr>
                  <pic:blipFill>
                    <a:blip r:embed="rId13">
                      <a:extLst>
                        <a:ext uri="{BEBA8EAE-BF5A-486C-A8C5-ECC9F3942E4B}">
                          <a14:imgProps xmlns:a14="http://schemas.microsoft.com/office/drawing/2010/main">
                            <a14:imgLayer r:embed="rId14">
                              <a14:imgEffect>
                                <a14:brightnessContrast bright="18000" contrast="4000"/>
                              </a14:imgEffect>
                            </a14:imgLayer>
                          </a14:imgProps>
                        </a:ext>
                        <a:ext uri="{28A0092B-C50C-407E-A947-70E740481C1C}">
                          <a14:useLocalDpi xmlns:a14="http://schemas.microsoft.com/office/drawing/2010/main" val="0"/>
                        </a:ext>
                      </a:extLst>
                    </a:blip>
                    <a:stretch>
                      <a:fillRect/>
                    </a:stretch>
                  </pic:blipFill>
                  <pic:spPr>
                    <a:xfrm>
                      <a:off x="0" y="0"/>
                      <a:ext cx="2968625" cy="1781175"/>
                    </a:xfrm>
                    <a:prstGeom prst="rect">
                      <a:avLst/>
                    </a:prstGeom>
                  </pic:spPr>
                </pic:pic>
              </a:graphicData>
            </a:graphic>
          </wp:inline>
        </w:drawing>
      </w:r>
      <w:r w:rsidRPr="006E6D0B">
        <w:rPr>
          <w:rFonts w:ascii="Times New Roman" w:hAnsi="Times New Roman"/>
          <w:kern w:val="16"/>
        </w:rPr>
        <w:t>Fig</w:t>
      </w:r>
      <w:r w:rsidR="006E6D0B">
        <w:rPr>
          <w:rFonts w:ascii="Times New Roman" w:hAnsi="Times New Roman"/>
          <w:kern w:val="16"/>
        </w:rPr>
        <w:t>ure</w:t>
      </w:r>
      <w:r w:rsidR="009103D6" w:rsidRPr="006E6D0B">
        <w:rPr>
          <w:rFonts w:ascii="Times New Roman" w:hAnsi="Times New Roman"/>
          <w:kern w:val="16"/>
        </w:rPr>
        <w:t>5</w:t>
      </w:r>
      <w:r w:rsidR="008F6BF2">
        <w:rPr>
          <w:rFonts w:ascii="Times New Roman" w:hAnsi="Times New Roman"/>
          <w:kern w:val="16"/>
        </w:rPr>
        <w:t>:</w:t>
      </w:r>
      <w:r w:rsidRPr="006E6D0B">
        <w:rPr>
          <w:rFonts w:ascii="Times New Roman" w:hAnsi="Times New Roman"/>
          <w:kern w:val="16"/>
        </w:rPr>
        <w:t xml:space="preserve"> View on production buffer at </w:t>
      </w:r>
      <w:proofErr w:type="spellStart"/>
      <w:r w:rsidRPr="006E6D0B">
        <w:rPr>
          <w:rFonts w:ascii="Times New Roman" w:hAnsi="Times New Roman"/>
          <w:kern w:val="16"/>
        </w:rPr>
        <w:t>E</w:t>
      </w:r>
      <w:r w:rsidR="006E6D0B">
        <w:t>ttore</w:t>
      </w:r>
      <w:proofErr w:type="spellEnd"/>
      <w:r w:rsidR="006E6D0B">
        <w:t xml:space="preserve"> </w:t>
      </w:r>
      <w:proofErr w:type="spellStart"/>
      <w:r w:rsidR="006E6D0B">
        <w:t>Zanon</w:t>
      </w:r>
      <w:proofErr w:type="spellEnd"/>
      <w:r w:rsidR="007840DE">
        <w:t>.</w:t>
      </w:r>
    </w:p>
    <w:p w:rsidR="00F76D19" w:rsidRDefault="00F76D19" w:rsidP="00611051">
      <w:pPr>
        <w:pStyle w:val="Retraitcorpsdetexte"/>
      </w:pPr>
    </w:p>
    <w:p w:rsidR="00E41BD6" w:rsidRDefault="00F76D19" w:rsidP="00F76D19">
      <w:pPr>
        <w:pStyle w:val="Retraitcorpsdetexte"/>
      </w:pPr>
      <w:r>
        <w:t>The cavities not pass</w:t>
      </w:r>
      <w:r w:rsidR="00611051">
        <w:t>ing</w:t>
      </w:r>
      <w:r>
        <w:t xml:space="preserve"> the acceptance test</w:t>
      </w:r>
      <w:r w:rsidR="00611051">
        <w:t xml:space="preserve"> in fi</w:t>
      </w:r>
      <w:r w:rsidR="00F739EC">
        <w:t>r</w:t>
      </w:r>
      <w:r w:rsidR="00611051">
        <w:t>st test</w:t>
      </w:r>
      <w:r>
        <w:t xml:space="preserve"> are retreated by HPR at DESY.</w:t>
      </w:r>
      <w:r w:rsidRPr="00F76D19">
        <w:t xml:space="preserve"> </w:t>
      </w:r>
      <w:r>
        <w:t>Eight are retested so far</w:t>
      </w:r>
      <w:r w:rsidR="00611051">
        <w:t xml:space="preserve"> </w:t>
      </w:r>
      <w:r w:rsidR="00F739EC">
        <w:t xml:space="preserve">and </w:t>
      </w:r>
      <w:r>
        <w:t xml:space="preserve">recovered form field emission. They reached </w:t>
      </w:r>
      <w:r w:rsidR="00611051">
        <w:t>gradients</w:t>
      </w:r>
      <w:r>
        <w:t xml:space="preserve"> from 26 up to 34 MV/m with average usable gradients of 39.2 MV/m.</w:t>
      </w:r>
    </w:p>
    <w:p w:rsidR="00611051" w:rsidRPr="00F76D19" w:rsidRDefault="00611051" w:rsidP="00F76D19">
      <w:pPr>
        <w:pStyle w:val="Retraitcorpsdetexte"/>
      </w:pPr>
      <w:r>
        <w:t xml:space="preserve">After second pass </w:t>
      </w:r>
      <w:r w:rsidR="00C474D4">
        <w:t>maximum</w:t>
      </w:r>
      <w:r>
        <w:t xml:space="preserve"> average gradient went up to 30.4 MV/m and the usable gradient reached 28.4 MV/m.</w:t>
      </w:r>
    </w:p>
    <w:p w:rsidR="00CE340F" w:rsidRDefault="00CE340F" w:rsidP="00F739EC">
      <w:pPr>
        <w:pStyle w:val="Retraitcorpsdetexte"/>
      </w:pPr>
      <w:r>
        <w:t xml:space="preserve">A total of five SCV cavities showed quench limitation without field emission between 19 MV/m </w:t>
      </w:r>
      <w:r w:rsidR="00495C74">
        <w:t xml:space="preserve">and </w:t>
      </w:r>
      <w:r>
        <w:t>22 MV/m. Retreatment of this cavities and investigation on this limitation are on-going.</w:t>
      </w:r>
    </w:p>
    <w:p w:rsidR="002320C6" w:rsidRDefault="00937D76" w:rsidP="00682DFC">
      <w:pPr>
        <w:pStyle w:val="Titre2"/>
        <w:spacing w:before="180"/>
      </w:pPr>
      <w:r>
        <w:t xml:space="preserve">Summary </w:t>
      </w:r>
    </w:p>
    <w:p w:rsidR="00F739EC" w:rsidRDefault="00937D76" w:rsidP="003A298D">
      <w:pPr>
        <w:pStyle w:val="Retraitcorpsdetexte"/>
      </w:pPr>
      <w:r>
        <w:t xml:space="preserve">At </w:t>
      </w:r>
      <w:proofErr w:type="spellStart"/>
      <w:r>
        <w:t>E</w:t>
      </w:r>
      <w:r w:rsidR="00C7029C">
        <w:t>ttore</w:t>
      </w:r>
      <w:proofErr w:type="spellEnd"/>
      <w:r w:rsidR="00C7029C">
        <w:t xml:space="preserve"> </w:t>
      </w:r>
      <w:proofErr w:type="spellStart"/>
      <w:r>
        <w:t>Zanon</w:t>
      </w:r>
      <w:proofErr w:type="spellEnd"/>
      <w:r>
        <w:t xml:space="preserve"> </w:t>
      </w:r>
      <w:r w:rsidR="00466B11">
        <w:t xml:space="preserve">Company </w:t>
      </w:r>
      <w:r w:rsidR="00C7029C">
        <w:t xml:space="preserve">located at </w:t>
      </w:r>
      <w:proofErr w:type="spellStart"/>
      <w:r>
        <w:t>Schio</w:t>
      </w:r>
      <w:proofErr w:type="spellEnd"/>
      <w:r>
        <w:t xml:space="preserve"> Italy</w:t>
      </w:r>
      <w:r w:rsidR="00466B11">
        <w:t>,</w:t>
      </w:r>
      <w:r>
        <w:t xml:space="preserve"> a complete new industrial infrastructure for </w:t>
      </w:r>
      <w:proofErr w:type="spellStart"/>
      <w:proofErr w:type="gramStart"/>
      <w:r>
        <w:t>s.c</w:t>
      </w:r>
      <w:proofErr w:type="gramEnd"/>
      <w:r>
        <w:t>.</w:t>
      </w:r>
      <w:proofErr w:type="spellEnd"/>
      <w:r>
        <w:t xml:space="preserve"> cavity preparation is set up. Qualification of the infrastructure and fabrication processing flow is done with nine referencing preparation cycles and eight pre-series cavities. </w:t>
      </w:r>
    </w:p>
    <w:p w:rsidR="00937D76" w:rsidRPr="00195092" w:rsidRDefault="00C86DB4" w:rsidP="003A298D">
      <w:pPr>
        <w:pStyle w:val="Retraitcorpsdetexte"/>
      </w:pPr>
      <w:r>
        <w:t xml:space="preserve">Cavity production is ramped up in </w:t>
      </w:r>
      <w:r w:rsidR="00937D76">
        <w:t>January 2013</w:t>
      </w:r>
      <w:r>
        <w:t>. Until KW 36/13</w:t>
      </w:r>
      <w:r w:rsidR="00F739EC">
        <w:t xml:space="preserve"> </w:t>
      </w:r>
      <w:r w:rsidR="00937D76">
        <w:t xml:space="preserve">a total </w:t>
      </w:r>
      <w:r w:rsidR="00952EFC">
        <w:t>of sixty</w:t>
      </w:r>
      <w:r>
        <w:t xml:space="preserve"> seven </w:t>
      </w:r>
      <w:r w:rsidR="00937D76">
        <w:t xml:space="preserve">cavities </w:t>
      </w:r>
      <w:r>
        <w:t>are</w:t>
      </w:r>
      <w:r w:rsidR="003A298D">
        <w:t xml:space="preserve"> </w:t>
      </w:r>
      <w:r w:rsidR="00937D76">
        <w:t xml:space="preserve">handed over to </w:t>
      </w:r>
      <w:r>
        <w:t>DESY</w:t>
      </w:r>
      <w:r w:rsidR="00937D76">
        <w:t xml:space="preserve">. </w:t>
      </w:r>
      <w:r w:rsidR="003A298D">
        <w:t>The</w:t>
      </w:r>
      <w:r w:rsidR="00633FBC">
        <w:t xml:space="preserve"> fifty three resonators tested so far</w:t>
      </w:r>
      <w:r w:rsidR="003A298D">
        <w:t xml:space="preserve"> reached a</w:t>
      </w:r>
      <w:r w:rsidR="00937D76">
        <w:t>ver</w:t>
      </w:r>
      <w:r w:rsidR="003A298D">
        <w:t>age</w:t>
      </w:r>
      <w:r w:rsidR="00937D76">
        <w:t xml:space="preserve"> gradients of more than </w:t>
      </w:r>
      <w:r w:rsidR="00195092">
        <w:t>28</w:t>
      </w:r>
      <w:r w:rsidR="00195092" w:rsidRPr="003A298D">
        <w:rPr>
          <w:color w:val="FF0000"/>
        </w:rPr>
        <w:t xml:space="preserve"> </w:t>
      </w:r>
      <w:r w:rsidR="00937D76" w:rsidRPr="00195092">
        <w:t>MV/</w:t>
      </w:r>
      <w:r w:rsidR="00195092" w:rsidRPr="00195092">
        <w:t>m. About half of that production exceeded gradients of 30 MV/m</w:t>
      </w:r>
      <w:r w:rsidR="003A298D" w:rsidRPr="00195092">
        <w:t>.</w:t>
      </w:r>
      <w:r w:rsidR="00937D76" w:rsidRPr="00195092">
        <w:t xml:space="preserve">  </w:t>
      </w:r>
      <w:r w:rsidR="00633FBC">
        <w:t>A p</w:t>
      </w:r>
      <w:r w:rsidR="00937D76" w:rsidRPr="00195092">
        <w:t xml:space="preserve">roduction rate of 4 cavities per week </w:t>
      </w:r>
      <w:r w:rsidR="00633FBC">
        <w:t xml:space="preserve">reaching </w:t>
      </w:r>
      <w:r w:rsidR="00937D76" w:rsidRPr="00195092">
        <w:t xml:space="preserve">acceptable performance </w:t>
      </w:r>
      <w:r w:rsidR="00F929B9">
        <w:t xml:space="preserve">is </w:t>
      </w:r>
      <w:r w:rsidR="00F929B9" w:rsidRPr="00195092">
        <w:t>demonstrated</w:t>
      </w:r>
      <w:r w:rsidR="00937D76" w:rsidRPr="00195092">
        <w:t xml:space="preserve">. </w:t>
      </w:r>
    </w:p>
    <w:p w:rsidR="007B3169" w:rsidRDefault="007840DE" w:rsidP="007840DE">
      <w:pPr>
        <w:pStyle w:val="Titre2"/>
      </w:pPr>
      <w:r>
        <w:t>References</w:t>
      </w:r>
    </w:p>
    <w:p w:rsidR="007B3169" w:rsidRPr="007D009C" w:rsidRDefault="0080410F" w:rsidP="007D009C">
      <w:pPr>
        <w:pStyle w:val="Reference"/>
        <w:rPr>
          <w:sz w:val="18"/>
          <w:szCs w:val="18"/>
        </w:rPr>
      </w:pPr>
      <w:r w:rsidRPr="007D009C" w:rsidDel="0080410F">
        <w:rPr>
          <w:sz w:val="18"/>
          <w:szCs w:val="18"/>
        </w:rPr>
        <w:t xml:space="preserve"> </w:t>
      </w:r>
      <w:proofErr w:type="gramStart"/>
      <w:r w:rsidRPr="007D009C">
        <w:rPr>
          <w:sz w:val="18"/>
          <w:szCs w:val="18"/>
        </w:rPr>
        <w:t>[</w:t>
      </w:r>
      <w:r w:rsidR="007C1014" w:rsidRPr="007D009C">
        <w:rPr>
          <w:sz w:val="18"/>
          <w:szCs w:val="18"/>
        </w:rPr>
        <w:t>1</w:t>
      </w:r>
      <w:r w:rsidRPr="007D009C">
        <w:rPr>
          <w:sz w:val="18"/>
          <w:szCs w:val="18"/>
        </w:rPr>
        <w:t xml:space="preserve">] </w:t>
      </w:r>
      <w:r w:rsidR="00B3451C" w:rsidRPr="007D009C">
        <w:rPr>
          <w:sz w:val="18"/>
          <w:szCs w:val="18"/>
        </w:rPr>
        <w:t>W. Singer, J. Iversen, A. Matheisen, H. Weise (DESY, Hamburg, Germany)</w:t>
      </w:r>
      <w:r w:rsidRPr="007D009C">
        <w:rPr>
          <w:sz w:val="18"/>
          <w:szCs w:val="18"/>
        </w:rPr>
        <w:t xml:space="preserve">, </w:t>
      </w:r>
      <w:r w:rsidR="00B3451C" w:rsidRPr="007D009C">
        <w:rPr>
          <w:sz w:val="18"/>
          <w:szCs w:val="18"/>
        </w:rPr>
        <w:t xml:space="preserve">P. </w:t>
      </w:r>
      <w:proofErr w:type="spellStart"/>
      <w:r w:rsidR="00B3451C" w:rsidRPr="007D009C">
        <w:rPr>
          <w:sz w:val="18"/>
          <w:szCs w:val="18"/>
        </w:rPr>
        <w:t>Michelato</w:t>
      </w:r>
      <w:proofErr w:type="spellEnd"/>
      <w:r w:rsidR="00B3451C" w:rsidRPr="007D009C">
        <w:rPr>
          <w:sz w:val="18"/>
          <w:szCs w:val="18"/>
        </w:rPr>
        <w:t xml:space="preserve"> (INFN, Milano, Italy)</w:t>
      </w:r>
      <w:r w:rsidR="007D009C">
        <w:rPr>
          <w:sz w:val="18"/>
          <w:szCs w:val="18"/>
        </w:rPr>
        <w:t>,</w:t>
      </w:r>
      <w:r w:rsidRPr="007D009C">
        <w:rPr>
          <w:sz w:val="18"/>
          <w:szCs w:val="18"/>
        </w:rPr>
        <w:t xml:space="preserve"> The Challenge and Realization of the Cavity Production and Treatment in Industry for the European XFEL</w:t>
      </w:r>
      <w:r w:rsidR="007D009C">
        <w:rPr>
          <w:sz w:val="18"/>
          <w:szCs w:val="18"/>
        </w:rPr>
        <w:t>,</w:t>
      </w:r>
      <w:r w:rsidR="007D009C" w:rsidRPr="007D009C">
        <w:rPr>
          <w:sz w:val="18"/>
          <w:szCs w:val="18"/>
        </w:rPr>
        <w:t xml:space="preserve"> </w:t>
      </w:r>
      <w:r w:rsidR="007840DE">
        <w:rPr>
          <w:sz w:val="18"/>
          <w:szCs w:val="18"/>
        </w:rPr>
        <w:t>these proceedings.</w:t>
      </w:r>
      <w:proofErr w:type="gramEnd"/>
    </w:p>
    <w:p w:rsidR="007B3169" w:rsidRPr="007D009C" w:rsidRDefault="007B3169" w:rsidP="007D009C">
      <w:pPr>
        <w:pStyle w:val="Reference"/>
        <w:rPr>
          <w:sz w:val="18"/>
          <w:szCs w:val="18"/>
        </w:rPr>
      </w:pPr>
      <w:r w:rsidRPr="007D009C">
        <w:rPr>
          <w:sz w:val="18"/>
          <w:szCs w:val="18"/>
        </w:rPr>
        <w:t>[</w:t>
      </w:r>
      <w:r w:rsidR="007C1014" w:rsidRPr="007D009C">
        <w:rPr>
          <w:sz w:val="18"/>
          <w:szCs w:val="18"/>
        </w:rPr>
        <w:t>2</w:t>
      </w:r>
      <w:r w:rsidRPr="007D009C">
        <w:rPr>
          <w:sz w:val="18"/>
          <w:szCs w:val="18"/>
        </w:rPr>
        <w:t>]</w:t>
      </w:r>
      <w:r w:rsidRPr="007D009C">
        <w:rPr>
          <w:sz w:val="18"/>
          <w:szCs w:val="18"/>
        </w:rPr>
        <w:tab/>
      </w:r>
      <w:proofErr w:type="spellStart"/>
      <w:r w:rsidR="00E33B6E" w:rsidRPr="007D009C">
        <w:rPr>
          <w:sz w:val="18"/>
          <w:szCs w:val="18"/>
        </w:rPr>
        <w:t>Giorgia</w:t>
      </w:r>
      <w:proofErr w:type="spellEnd"/>
      <w:r w:rsidR="00E33B6E" w:rsidRPr="007D009C">
        <w:rPr>
          <w:sz w:val="18"/>
          <w:szCs w:val="18"/>
        </w:rPr>
        <w:t xml:space="preserve"> </w:t>
      </w:r>
      <w:proofErr w:type="spellStart"/>
      <w:r w:rsidR="00E33B6E" w:rsidRPr="007D009C">
        <w:rPr>
          <w:sz w:val="18"/>
          <w:szCs w:val="18"/>
        </w:rPr>
        <w:t>Massaro</w:t>
      </w:r>
      <w:proofErr w:type="spellEnd"/>
      <w:r w:rsidR="00E33B6E" w:rsidRPr="007D009C">
        <w:rPr>
          <w:sz w:val="18"/>
          <w:szCs w:val="18"/>
        </w:rPr>
        <w:t xml:space="preserve">, Giorgio </w:t>
      </w:r>
      <w:proofErr w:type="spellStart"/>
      <w:r w:rsidR="00E33B6E" w:rsidRPr="007D009C">
        <w:rPr>
          <w:sz w:val="18"/>
          <w:szCs w:val="18"/>
        </w:rPr>
        <w:t>Corniani</w:t>
      </w:r>
      <w:proofErr w:type="spellEnd"/>
      <w:r w:rsidR="007D009C">
        <w:rPr>
          <w:sz w:val="18"/>
          <w:szCs w:val="18"/>
        </w:rPr>
        <w:t>,</w:t>
      </w:r>
      <w:r w:rsidR="00E33B6E" w:rsidRPr="007D009C">
        <w:rPr>
          <w:sz w:val="18"/>
          <w:szCs w:val="18"/>
        </w:rPr>
        <w:t xml:space="preserve"> </w:t>
      </w:r>
      <w:proofErr w:type="spellStart"/>
      <w:r w:rsidR="00E33B6E" w:rsidRPr="007D009C">
        <w:rPr>
          <w:sz w:val="18"/>
          <w:szCs w:val="18"/>
        </w:rPr>
        <w:t>Ettore</w:t>
      </w:r>
      <w:proofErr w:type="spellEnd"/>
      <w:r w:rsidR="00E33B6E" w:rsidRPr="007D009C">
        <w:rPr>
          <w:sz w:val="18"/>
          <w:szCs w:val="18"/>
        </w:rPr>
        <w:t xml:space="preserve"> </w:t>
      </w:r>
      <w:proofErr w:type="spellStart"/>
      <w:r w:rsidR="00E33B6E" w:rsidRPr="007D009C">
        <w:rPr>
          <w:sz w:val="18"/>
          <w:szCs w:val="18"/>
        </w:rPr>
        <w:t>Zanon</w:t>
      </w:r>
      <w:proofErr w:type="spellEnd"/>
      <w:r w:rsidR="00E33B6E" w:rsidRPr="007D009C">
        <w:rPr>
          <w:sz w:val="18"/>
          <w:szCs w:val="18"/>
        </w:rPr>
        <w:t xml:space="preserve"> </w:t>
      </w:r>
      <w:proofErr w:type="spellStart"/>
      <w:r w:rsidR="00E33B6E" w:rsidRPr="007D009C">
        <w:rPr>
          <w:sz w:val="18"/>
          <w:szCs w:val="18"/>
        </w:rPr>
        <w:t>S.p.A</w:t>
      </w:r>
      <w:proofErr w:type="spellEnd"/>
      <w:r w:rsidR="00E33B6E" w:rsidRPr="007D009C">
        <w:rPr>
          <w:sz w:val="18"/>
          <w:szCs w:val="18"/>
        </w:rPr>
        <w:t xml:space="preserve">., </w:t>
      </w:r>
      <w:proofErr w:type="spellStart"/>
      <w:r w:rsidR="00E33B6E" w:rsidRPr="007D009C">
        <w:rPr>
          <w:sz w:val="18"/>
          <w:szCs w:val="18"/>
        </w:rPr>
        <w:t>Schio</w:t>
      </w:r>
      <w:proofErr w:type="spellEnd"/>
      <w:r w:rsidR="007D009C">
        <w:rPr>
          <w:sz w:val="18"/>
          <w:szCs w:val="18"/>
        </w:rPr>
        <w:t>,</w:t>
      </w:r>
      <w:r w:rsidR="00E33B6E" w:rsidRPr="007D009C">
        <w:rPr>
          <w:sz w:val="18"/>
          <w:szCs w:val="18"/>
        </w:rPr>
        <w:t xml:space="preserve"> MOP038</w:t>
      </w:r>
      <w:r w:rsidR="007D009C">
        <w:rPr>
          <w:sz w:val="18"/>
          <w:szCs w:val="18"/>
        </w:rPr>
        <w:t>,</w:t>
      </w:r>
      <w:r w:rsidR="00E33B6E" w:rsidRPr="007D009C">
        <w:rPr>
          <w:sz w:val="18"/>
          <w:szCs w:val="18"/>
        </w:rPr>
        <w:t xml:space="preserve">  Series Production of XFEL 1,3 GHz SRF Cavities at </w:t>
      </w:r>
      <w:proofErr w:type="spellStart"/>
      <w:r w:rsidR="00E33B6E" w:rsidRPr="007D009C">
        <w:rPr>
          <w:sz w:val="18"/>
          <w:szCs w:val="18"/>
        </w:rPr>
        <w:t>Ettore</w:t>
      </w:r>
      <w:proofErr w:type="spellEnd"/>
      <w:r w:rsidR="00E33B6E" w:rsidRPr="007D009C">
        <w:rPr>
          <w:sz w:val="18"/>
          <w:szCs w:val="18"/>
        </w:rPr>
        <w:t xml:space="preserve"> </w:t>
      </w:r>
      <w:proofErr w:type="spellStart"/>
      <w:r w:rsidR="00E33B6E" w:rsidRPr="007D009C">
        <w:rPr>
          <w:sz w:val="18"/>
          <w:szCs w:val="18"/>
        </w:rPr>
        <w:t>Zanon</w:t>
      </w:r>
      <w:proofErr w:type="spellEnd"/>
      <w:r w:rsidR="00E33B6E" w:rsidRPr="007D009C">
        <w:rPr>
          <w:sz w:val="18"/>
          <w:szCs w:val="18"/>
        </w:rPr>
        <w:t xml:space="preserve"> </w:t>
      </w:r>
      <w:proofErr w:type="spellStart"/>
      <w:r w:rsidR="00E33B6E" w:rsidRPr="007D009C">
        <w:rPr>
          <w:sz w:val="18"/>
          <w:szCs w:val="18"/>
        </w:rPr>
        <w:t>S.p.A</w:t>
      </w:r>
      <w:proofErr w:type="spellEnd"/>
      <w:r w:rsidR="00E33B6E" w:rsidRPr="007D009C">
        <w:rPr>
          <w:sz w:val="18"/>
          <w:szCs w:val="18"/>
        </w:rPr>
        <w:t>.</w:t>
      </w:r>
      <w:r w:rsidR="007D009C">
        <w:rPr>
          <w:sz w:val="18"/>
          <w:szCs w:val="18"/>
        </w:rPr>
        <w:t>,</w:t>
      </w:r>
      <w:r w:rsidR="00E33B6E" w:rsidRPr="007D009C">
        <w:rPr>
          <w:sz w:val="18"/>
          <w:szCs w:val="18"/>
        </w:rPr>
        <w:t xml:space="preserve"> Management, Infrastructures and Quality Control</w:t>
      </w:r>
      <w:r w:rsidR="007840DE">
        <w:rPr>
          <w:sz w:val="18"/>
          <w:szCs w:val="18"/>
        </w:rPr>
        <w:t>.</w:t>
      </w:r>
    </w:p>
    <w:p w:rsidR="00786095" w:rsidRPr="007D009C" w:rsidRDefault="007B3169" w:rsidP="007D009C">
      <w:pPr>
        <w:pStyle w:val="Reference"/>
        <w:rPr>
          <w:sz w:val="18"/>
          <w:szCs w:val="18"/>
        </w:rPr>
      </w:pPr>
      <w:r w:rsidRPr="007D009C">
        <w:rPr>
          <w:sz w:val="18"/>
          <w:szCs w:val="18"/>
        </w:rPr>
        <w:t>[</w:t>
      </w:r>
      <w:r w:rsidR="007C1014" w:rsidRPr="007D009C">
        <w:rPr>
          <w:sz w:val="18"/>
          <w:szCs w:val="18"/>
        </w:rPr>
        <w:t>3</w:t>
      </w:r>
      <w:r w:rsidRPr="007D009C">
        <w:rPr>
          <w:sz w:val="18"/>
          <w:szCs w:val="18"/>
        </w:rPr>
        <w:t>]</w:t>
      </w:r>
      <w:r w:rsidRPr="007D009C">
        <w:rPr>
          <w:sz w:val="18"/>
          <w:szCs w:val="18"/>
        </w:rPr>
        <w:tab/>
      </w:r>
      <w:r w:rsidR="00786095" w:rsidRPr="007D009C">
        <w:rPr>
          <w:sz w:val="18"/>
          <w:szCs w:val="18"/>
        </w:rPr>
        <w:t>L. Lilje, Particle Free Pump Down and Venting of UHV Vacuum Systems</w:t>
      </w:r>
      <w:r w:rsidR="007D009C">
        <w:rPr>
          <w:sz w:val="18"/>
          <w:szCs w:val="18"/>
        </w:rPr>
        <w:t>,</w:t>
      </w:r>
      <w:r w:rsidR="00786095" w:rsidRPr="007D009C">
        <w:rPr>
          <w:sz w:val="18"/>
          <w:szCs w:val="18"/>
        </w:rPr>
        <w:t xml:space="preserve"> SRF2009</w:t>
      </w:r>
      <w:r w:rsidR="007840DE">
        <w:rPr>
          <w:sz w:val="18"/>
          <w:szCs w:val="18"/>
        </w:rPr>
        <w:t>.</w:t>
      </w:r>
    </w:p>
    <w:p w:rsidR="00045505" w:rsidRPr="007D009C" w:rsidRDefault="00045505" w:rsidP="007D009C">
      <w:pPr>
        <w:pStyle w:val="Reference"/>
        <w:rPr>
          <w:sz w:val="18"/>
          <w:szCs w:val="18"/>
        </w:rPr>
      </w:pPr>
      <w:r w:rsidRPr="007D009C">
        <w:rPr>
          <w:sz w:val="18"/>
          <w:szCs w:val="18"/>
        </w:rPr>
        <w:t>[</w:t>
      </w:r>
      <w:r w:rsidR="007C1014" w:rsidRPr="007D009C">
        <w:rPr>
          <w:sz w:val="18"/>
          <w:szCs w:val="18"/>
        </w:rPr>
        <w:t>4</w:t>
      </w:r>
      <w:r w:rsidRPr="007D009C">
        <w:rPr>
          <w:sz w:val="18"/>
          <w:szCs w:val="18"/>
        </w:rPr>
        <w:t xml:space="preserve">] </w:t>
      </w:r>
      <w:r w:rsidR="007D009C">
        <w:rPr>
          <w:sz w:val="18"/>
          <w:szCs w:val="18"/>
        </w:rPr>
        <w:tab/>
      </w:r>
      <w:proofErr w:type="spellStart"/>
      <w:r w:rsidRPr="007D009C">
        <w:rPr>
          <w:sz w:val="18"/>
          <w:szCs w:val="18"/>
        </w:rPr>
        <w:t>Michela</w:t>
      </w:r>
      <w:proofErr w:type="spellEnd"/>
      <w:r w:rsidRPr="007D009C">
        <w:rPr>
          <w:sz w:val="18"/>
          <w:szCs w:val="18"/>
        </w:rPr>
        <w:t xml:space="preserve"> </w:t>
      </w:r>
      <w:proofErr w:type="spellStart"/>
      <w:r w:rsidRPr="007D009C">
        <w:rPr>
          <w:sz w:val="18"/>
          <w:szCs w:val="18"/>
        </w:rPr>
        <w:t>Rizzi</w:t>
      </w:r>
      <w:proofErr w:type="spellEnd"/>
      <w:r w:rsidRPr="007D009C">
        <w:rPr>
          <w:sz w:val="18"/>
          <w:szCs w:val="18"/>
        </w:rPr>
        <w:t xml:space="preserve">, </w:t>
      </w:r>
      <w:proofErr w:type="spellStart"/>
      <w:r w:rsidRPr="007D009C">
        <w:rPr>
          <w:sz w:val="18"/>
          <w:szCs w:val="18"/>
        </w:rPr>
        <w:t>Ambra</w:t>
      </w:r>
      <w:proofErr w:type="spellEnd"/>
      <w:r w:rsidRPr="007D009C">
        <w:rPr>
          <w:sz w:val="18"/>
          <w:szCs w:val="18"/>
        </w:rPr>
        <w:t xml:space="preserve"> </w:t>
      </w:r>
      <w:proofErr w:type="spellStart"/>
      <w:r w:rsidRPr="007D009C">
        <w:rPr>
          <w:sz w:val="18"/>
          <w:szCs w:val="18"/>
        </w:rPr>
        <w:t>Gresele</w:t>
      </w:r>
      <w:proofErr w:type="spellEnd"/>
      <w:r w:rsidR="007D009C">
        <w:rPr>
          <w:sz w:val="18"/>
          <w:szCs w:val="18"/>
        </w:rPr>
        <w:t>,</w:t>
      </w:r>
      <w:r w:rsidR="00681166">
        <w:rPr>
          <w:sz w:val="18"/>
          <w:szCs w:val="18"/>
        </w:rPr>
        <w:t xml:space="preserve"> </w:t>
      </w:r>
      <w:proofErr w:type="spellStart"/>
      <w:r w:rsidRPr="007D009C">
        <w:rPr>
          <w:sz w:val="18"/>
          <w:szCs w:val="18"/>
        </w:rPr>
        <w:t>Ettore</w:t>
      </w:r>
      <w:proofErr w:type="spellEnd"/>
      <w:r w:rsidRPr="007D009C">
        <w:rPr>
          <w:sz w:val="18"/>
          <w:szCs w:val="18"/>
        </w:rPr>
        <w:t xml:space="preserve"> </w:t>
      </w:r>
      <w:proofErr w:type="spellStart"/>
      <w:r w:rsidRPr="007D009C">
        <w:rPr>
          <w:sz w:val="18"/>
          <w:szCs w:val="18"/>
        </w:rPr>
        <w:t>Zanon</w:t>
      </w:r>
      <w:proofErr w:type="spellEnd"/>
      <w:r w:rsidRPr="007D009C">
        <w:rPr>
          <w:sz w:val="18"/>
          <w:szCs w:val="18"/>
        </w:rPr>
        <w:t xml:space="preserve"> </w:t>
      </w:r>
      <w:proofErr w:type="spellStart"/>
      <w:r w:rsidRPr="007D009C">
        <w:rPr>
          <w:sz w:val="18"/>
          <w:szCs w:val="18"/>
        </w:rPr>
        <w:t>S.p.A</w:t>
      </w:r>
      <w:proofErr w:type="spellEnd"/>
      <w:r w:rsidRPr="007D009C">
        <w:rPr>
          <w:sz w:val="18"/>
          <w:szCs w:val="18"/>
        </w:rPr>
        <w:t xml:space="preserve">., </w:t>
      </w:r>
      <w:proofErr w:type="spellStart"/>
      <w:r w:rsidRPr="007D009C">
        <w:rPr>
          <w:sz w:val="18"/>
          <w:szCs w:val="18"/>
        </w:rPr>
        <w:t>Schio</w:t>
      </w:r>
      <w:proofErr w:type="spellEnd"/>
      <w:r w:rsidRPr="007D009C">
        <w:rPr>
          <w:sz w:val="18"/>
          <w:szCs w:val="18"/>
        </w:rPr>
        <w:t xml:space="preserve">, Axel </w:t>
      </w:r>
      <w:proofErr w:type="spellStart"/>
      <w:r w:rsidRPr="007D009C">
        <w:rPr>
          <w:sz w:val="18"/>
          <w:szCs w:val="18"/>
        </w:rPr>
        <w:t>Matheisen</w:t>
      </w:r>
      <w:proofErr w:type="spellEnd"/>
      <w:r w:rsidRPr="007D009C">
        <w:rPr>
          <w:sz w:val="18"/>
          <w:szCs w:val="18"/>
        </w:rPr>
        <w:t xml:space="preserve">, Nicolai </w:t>
      </w:r>
      <w:proofErr w:type="spellStart"/>
      <w:r w:rsidRPr="007D009C">
        <w:rPr>
          <w:sz w:val="18"/>
          <w:szCs w:val="18"/>
        </w:rPr>
        <w:t>Steinhau-Kuehl</w:t>
      </w:r>
      <w:proofErr w:type="spellEnd"/>
      <w:r w:rsidR="007D009C">
        <w:rPr>
          <w:sz w:val="18"/>
          <w:szCs w:val="18"/>
        </w:rPr>
        <w:t>,</w:t>
      </w:r>
      <w:r w:rsidR="00681166">
        <w:rPr>
          <w:sz w:val="18"/>
          <w:szCs w:val="18"/>
        </w:rPr>
        <w:t xml:space="preserve"> </w:t>
      </w:r>
      <w:r w:rsidRPr="007D009C">
        <w:rPr>
          <w:sz w:val="18"/>
          <w:szCs w:val="18"/>
        </w:rPr>
        <w:t xml:space="preserve">DESY, Hamburg), Paolo </w:t>
      </w:r>
      <w:proofErr w:type="spellStart"/>
      <w:r w:rsidRPr="007D009C">
        <w:rPr>
          <w:sz w:val="18"/>
          <w:szCs w:val="18"/>
        </w:rPr>
        <w:t>Michelato</w:t>
      </w:r>
      <w:r w:rsidR="007D009C">
        <w:rPr>
          <w:sz w:val="18"/>
          <w:szCs w:val="18"/>
        </w:rPr>
        <w:t>,</w:t>
      </w:r>
      <w:r w:rsidRPr="007D009C">
        <w:rPr>
          <w:sz w:val="18"/>
          <w:szCs w:val="18"/>
        </w:rPr>
        <w:t>INFN</w:t>
      </w:r>
      <w:proofErr w:type="spellEnd"/>
      <w:r w:rsidRPr="007D009C">
        <w:rPr>
          <w:sz w:val="18"/>
          <w:szCs w:val="18"/>
        </w:rPr>
        <w:t xml:space="preserve">/LASA, </w:t>
      </w:r>
      <w:proofErr w:type="spellStart"/>
      <w:r w:rsidRPr="007D009C">
        <w:rPr>
          <w:sz w:val="18"/>
          <w:szCs w:val="18"/>
        </w:rPr>
        <w:t>Segrate</w:t>
      </w:r>
      <w:proofErr w:type="spellEnd"/>
      <w:r w:rsidRPr="007D009C">
        <w:rPr>
          <w:sz w:val="18"/>
          <w:szCs w:val="18"/>
        </w:rPr>
        <w:t xml:space="preserve"> (MI)</w:t>
      </w:r>
      <w:r w:rsidR="007D009C">
        <w:rPr>
          <w:sz w:val="18"/>
          <w:szCs w:val="18"/>
        </w:rPr>
        <w:t>,</w:t>
      </w:r>
      <w:r w:rsidRPr="007D009C">
        <w:rPr>
          <w:sz w:val="18"/>
          <w:szCs w:val="18"/>
        </w:rPr>
        <w:t xml:space="preserve"> MOP045</w:t>
      </w:r>
      <w:r w:rsidR="007D009C">
        <w:rPr>
          <w:sz w:val="18"/>
          <w:szCs w:val="18"/>
        </w:rPr>
        <w:t>,</w:t>
      </w:r>
      <w:r w:rsidRPr="007D009C">
        <w:rPr>
          <w:sz w:val="18"/>
          <w:szCs w:val="18"/>
        </w:rPr>
        <w:t> </w:t>
      </w:r>
      <w:proofErr w:type="spellStart"/>
      <w:r w:rsidRPr="007D009C">
        <w:rPr>
          <w:sz w:val="18"/>
          <w:szCs w:val="18"/>
        </w:rPr>
        <w:t>Electropolishing</w:t>
      </w:r>
      <w:proofErr w:type="spellEnd"/>
      <w:r w:rsidRPr="007D009C">
        <w:rPr>
          <w:sz w:val="18"/>
          <w:szCs w:val="18"/>
        </w:rPr>
        <w:t xml:space="preserve"> for XFEL Cavities Production at </w:t>
      </w:r>
      <w:proofErr w:type="spellStart"/>
      <w:r w:rsidRPr="007D009C">
        <w:rPr>
          <w:sz w:val="18"/>
          <w:szCs w:val="18"/>
        </w:rPr>
        <w:t>Ettore</w:t>
      </w:r>
      <w:proofErr w:type="spellEnd"/>
      <w:r w:rsidRPr="007D009C">
        <w:rPr>
          <w:sz w:val="18"/>
          <w:szCs w:val="18"/>
        </w:rPr>
        <w:t xml:space="preserve"> </w:t>
      </w:r>
      <w:proofErr w:type="spellStart"/>
      <w:r w:rsidRPr="007D009C">
        <w:rPr>
          <w:sz w:val="18"/>
          <w:szCs w:val="18"/>
        </w:rPr>
        <w:t>Zanon</w:t>
      </w:r>
      <w:proofErr w:type="spellEnd"/>
      <w:r w:rsidRPr="007D009C">
        <w:rPr>
          <w:sz w:val="18"/>
          <w:szCs w:val="18"/>
        </w:rPr>
        <w:t xml:space="preserve"> </w:t>
      </w:r>
      <w:proofErr w:type="spellStart"/>
      <w:r w:rsidRPr="007D009C">
        <w:rPr>
          <w:sz w:val="18"/>
          <w:szCs w:val="18"/>
        </w:rPr>
        <w:t>SpA</w:t>
      </w:r>
      <w:proofErr w:type="spellEnd"/>
      <w:r w:rsidRPr="007D009C">
        <w:rPr>
          <w:sz w:val="18"/>
          <w:szCs w:val="18"/>
        </w:rPr>
        <w:t>.</w:t>
      </w:r>
      <w:r w:rsidR="007D009C">
        <w:rPr>
          <w:sz w:val="18"/>
          <w:szCs w:val="18"/>
        </w:rPr>
        <w:t>,</w:t>
      </w:r>
      <w:proofErr w:type="spellStart"/>
      <w:r w:rsidRPr="007D009C">
        <w:rPr>
          <w:sz w:val="18"/>
          <w:szCs w:val="18"/>
        </w:rPr>
        <w:t>Corniani</w:t>
      </w:r>
      <w:proofErr w:type="spellEnd"/>
      <w:r w:rsidR="007D009C">
        <w:rPr>
          <w:sz w:val="18"/>
          <w:szCs w:val="18"/>
        </w:rPr>
        <w:t>,</w:t>
      </w:r>
      <w:r w:rsidRPr="007D009C">
        <w:rPr>
          <w:sz w:val="18"/>
          <w:szCs w:val="18"/>
        </w:rPr>
        <w:t xml:space="preserve"> </w:t>
      </w:r>
      <w:proofErr w:type="spellStart"/>
      <w:r w:rsidRPr="007D009C">
        <w:rPr>
          <w:sz w:val="18"/>
          <w:szCs w:val="18"/>
        </w:rPr>
        <w:t>M.Rizzi</w:t>
      </w:r>
      <w:proofErr w:type="spellEnd"/>
      <w:r w:rsidR="007D009C">
        <w:rPr>
          <w:sz w:val="18"/>
          <w:szCs w:val="18"/>
        </w:rPr>
        <w:t>,</w:t>
      </w:r>
      <w:r w:rsidRPr="007D009C">
        <w:rPr>
          <w:sz w:val="18"/>
          <w:szCs w:val="18"/>
        </w:rPr>
        <w:t xml:space="preserve">  </w:t>
      </w:r>
      <w:proofErr w:type="spellStart"/>
      <w:r w:rsidRPr="007D009C">
        <w:rPr>
          <w:sz w:val="18"/>
          <w:szCs w:val="18"/>
        </w:rPr>
        <w:t>E.Zanon</w:t>
      </w:r>
      <w:proofErr w:type="spellEnd"/>
      <w:r w:rsidR="007D009C">
        <w:rPr>
          <w:sz w:val="18"/>
          <w:szCs w:val="18"/>
        </w:rPr>
        <w:t>,</w:t>
      </w:r>
      <w:r w:rsidRPr="007D009C">
        <w:rPr>
          <w:sz w:val="18"/>
          <w:szCs w:val="18"/>
        </w:rPr>
        <w:t xml:space="preserve">  MOP 45</w:t>
      </w:r>
      <w:r w:rsidR="007840DE">
        <w:rPr>
          <w:sz w:val="18"/>
          <w:szCs w:val="18"/>
        </w:rPr>
        <w:t>c.</w:t>
      </w:r>
    </w:p>
    <w:p w:rsidR="00BF5A52" w:rsidRDefault="007B3169" w:rsidP="007D009C">
      <w:pPr>
        <w:pStyle w:val="Reference"/>
        <w:rPr>
          <w:sz w:val="18"/>
          <w:szCs w:val="18"/>
        </w:rPr>
      </w:pPr>
      <w:r w:rsidRPr="007D009C">
        <w:rPr>
          <w:sz w:val="18"/>
          <w:szCs w:val="18"/>
        </w:rPr>
        <w:lastRenderedPageBreak/>
        <w:t>[</w:t>
      </w:r>
      <w:r w:rsidR="007C1014" w:rsidRPr="007D009C">
        <w:rPr>
          <w:sz w:val="18"/>
          <w:szCs w:val="18"/>
        </w:rPr>
        <w:t>5</w:t>
      </w:r>
      <w:r w:rsidRPr="007D009C">
        <w:rPr>
          <w:sz w:val="18"/>
          <w:szCs w:val="18"/>
        </w:rPr>
        <w:t>]</w:t>
      </w:r>
      <w:r w:rsidR="007D009C">
        <w:rPr>
          <w:sz w:val="18"/>
          <w:szCs w:val="18"/>
        </w:rPr>
        <w:tab/>
      </w:r>
      <w:r w:rsidR="00BF5A52" w:rsidRPr="007D009C">
        <w:rPr>
          <w:sz w:val="18"/>
          <w:szCs w:val="18"/>
        </w:rPr>
        <w:t>A.</w:t>
      </w:r>
      <w:r w:rsidR="007840DE">
        <w:rPr>
          <w:sz w:val="18"/>
          <w:szCs w:val="18"/>
        </w:rPr>
        <w:t xml:space="preserve"> </w:t>
      </w:r>
      <w:proofErr w:type="spellStart"/>
      <w:r w:rsidR="00BF5A52" w:rsidRPr="007D009C">
        <w:rPr>
          <w:sz w:val="18"/>
          <w:szCs w:val="18"/>
        </w:rPr>
        <w:t>Matheisen</w:t>
      </w:r>
      <w:proofErr w:type="spellEnd"/>
      <w:r w:rsidR="007D009C">
        <w:rPr>
          <w:sz w:val="18"/>
          <w:szCs w:val="18"/>
        </w:rPr>
        <w:t>,</w:t>
      </w:r>
      <w:r w:rsidR="00BF5A52" w:rsidRPr="007D009C">
        <w:rPr>
          <w:sz w:val="18"/>
          <w:szCs w:val="18"/>
        </w:rPr>
        <w:t xml:space="preserve"> </w:t>
      </w:r>
      <w:proofErr w:type="spellStart"/>
      <w:r w:rsidR="00BF5A52" w:rsidRPr="007D009C">
        <w:rPr>
          <w:sz w:val="18"/>
          <w:szCs w:val="18"/>
        </w:rPr>
        <w:t>B.v.d</w:t>
      </w:r>
      <w:proofErr w:type="spellEnd"/>
      <w:r w:rsidR="00BF5A52" w:rsidRPr="007D009C">
        <w:rPr>
          <w:sz w:val="18"/>
          <w:szCs w:val="18"/>
        </w:rPr>
        <w:t>.</w:t>
      </w:r>
      <w:r w:rsidR="007840DE">
        <w:rPr>
          <w:sz w:val="18"/>
          <w:szCs w:val="18"/>
        </w:rPr>
        <w:t xml:space="preserve"> </w:t>
      </w:r>
      <w:r w:rsidR="00BF5A52" w:rsidRPr="007D009C">
        <w:rPr>
          <w:sz w:val="18"/>
          <w:szCs w:val="18"/>
        </w:rPr>
        <w:t>Horst</w:t>
      </w:r>
      <w:r w:rsidR="007D009C">
        <w:rPr>
          <w:sz w:val="18"/>
          <w:szCs w:val="18"/>
        </w:rPr>
        <w:t xml:space="preserve">, </w:t>
      </w:r>
      <w:r w:rsidR="00BF5A52" w:rsidRPr="007D009C">
        <w:rPr>
          <w:sz w:val="18"/>
          <w:szCs w:val="18"/>
        </w:rPr>
        <w:t>N.</w:t>
      </w:r>
      <w:r w:rsidR="007840DE">
        <w:rPr>
          <w:sz w:val="18"/>
          <w:szCs w:val="18"/>
        </w:rPr>
        <w:t xml:space="preserve"> </w:t>
      </w:r>
      <w:proofErr w:type="spellStart"/>
      <w:r w:rsidR="00BF5A52" w:rsidRPr="007D009C">
        <w:rPr>
          <w:sz w:val="18"/>
          <w:szCs w:val="18"/>
        </w:rPr>
        <w:t>Krupka</w:t>
      </w:r>
      <w:proofErr w:type="spellEnd"/>
      <w:r w:rsidR="007D009C">
        <w:rPr>
          <w:sz w:val="18"/>
          <w:szCs w:val="18"/>
        </w:rPr>
        <w:t xml:space="preserve">, </w:t>
      </w:r>
      <w:r w:rsidR="00BF5A52" w:rsidRPr="007D009C">
        <w:rPr>
          <w:sz w:val="18"/>
          <w:szCs w:val="18"/>
        </w:rPr>
        <w:t>M.</w:t>
      </w:r>
      <w:r w:rsidR="007840DE">
        <w:rPr>
          <w:sz w:val="18"/>
          <w:szCs w:val="18"/>
        </w:rPr>
        <w:t xml:space="preserve"> </w:t>
      </w:r>
      <w:proofErr w:type="spellStart"/>
      <w:r w:rsidR="00BF5A52" w:rsidRPr="007D009C">
        <w:rPr>
          <w:sz w:val="18"/>
          <w:szCs w:val="18"/>
        </w:rPr>
        <w:t>Schalwat</w:t>
      </w:r>
      <w:proofErr w:type="spellEnd"/>
      <w:r w:rsidR="007D009C">
        <w:rPr>
          <w:sz w:val="18"/>
          <w:szCs w:val="18"/>
        </w:rPr>
        <w:t xml:space="preserve">, </w:t>
      </w:r>
      <w:r w:rsidR="00BF5A52" w:rsidRPr="007D009C">
        <w:rPr>
          <w:sz w:val="18"/>
          <w:szCs w:val="18"/>
        </w:rPr>
        <w:t>N.</w:t>
      </w:r>
      <w:r w:rsidR="007840DE">
        <w:rPr>
          <w:sz w:val="18"/>
          <w:szCs w:val="18"/>
        </w:rPr>
        <w:t xml:space="preserve"> </w:t>
      </w:r>
      <w:proofErr w:type="spellStart"/>
      <w:r w:rsidR="00BF5A52" w:rsidRPr="007D009C">
        <w:rPr>
          <w:sz w:val="18"/>
          <w:szCs w:val="18"/>
        </w:rPr>
        <w:t>Steinhau-Kühl</w:t>
      </w:r>
      <w:proofErr w:type="spellEnd"/>
      <w:r w:rsidR="007D009C">
        <w:rPr>
          <w:sz w:val="18"/>
          <w:szCs w:val="18"/>
        </w:rPr>
        <w:t xml:space="preserve">, </w:t>
      </w:r>
      <w:r w:rsidR="00BF5A52" w:rsidRPr="007D009C">
        <w:rPr>
          <w:sz w:val="18"/>
          <w:szCs w:val="18"/>
        </w:rPr>
        <w:t>A.</w:t>
      </w:r>
      <w:r w:rsidR="007840DE">
        <w:rPr>
          <w:sz w:val="18"/>
          <w:szCs w:val="18"/>
        </w:rPr>
        <w:t xml:space="preserve"> </w:t>
      </w:r>
      <w:r w:rsidR="00BF5A52" w:rsidRPr="007D009C">
        <w:rPr>
          <w:sz w:val="18"/>
          <w:szCs w:val="18"/>
        </w:rPr>
        <w:t>Schmidt</w:t>
      </w:r>
      <w:r w:rsidR="007D009C">
        <w:rPr>
          <w:sz w:val="18"/>
          <w:szCs w:val="18"/>
        </w:rPr>
        <w:t xml:space="preserve">, </w:t>
      </w:r>
      <w:r w:rsidR="00BF5A52" w:rsidRPr="007D009C">
        <w:rPr>
          <w:sz w:val="18"/>
          <w:szCs w:val="18"/>
        </w:rPr>
        <w:t>W.</w:t>
      </w:r>
      <w:r w:rsidR="007840DE">
        <w:rPr>
          <w:sz w:val="18"/>
          <w:szCs w:val="18"/>
        </w:rPr>
        <w:t xml:space="preserve"> </w:t>
      </w:r>
      <w:r w:rsidR="00BF5A52" w:rsidRPr="007D009C">
        <w:rPr>
          <w:sz w:val="18"/>
          <w:szCs w:val="18"/>
        </w:rPr>
        <w:t>Singer</w:t>
      </w:r>
      <w:r w:rsidR="007D009C">
        <w:rPr>
          <w:sz w:val="18"/>
          <w:szCs w:val="18"/>
        </w:rPr>
        <w:t>,</w:t>
      </w:r>
      <w:r w:rsidR="00BF5A52" w:rsidRPr="007D009C">
        <w:rPr>
          <w:sz w:val="18"/>
          <w:szCs w:val="18"/>
        </w:rPr>
        <w:t xml:space="preserve"> P.</w:t>
      </w:r>
      <w:r w:rsidR="007840DE">
        <w:rPr>
          <w:sz w:val="18"/>
          <w:szCs w:val="18"/>
        </w:rPr>
        <w:t xml:space="preserve"> </w:t>
      </w:r>
      <w:proofErr w:type="spellStart"/>
      <w:r w:rsidR="00BF5A52" w:rsidRPr="007D009C">
        <w:rPr>
          <w:sz w:val="18"/>
          <w:szCs w:val="18"/>
        </w:rPr>
        <w:t>Michelato</w:t>
      </w:r>
      <w:proofErr w:type="spellEnd"/>
      <w:r w:rsidR="007D009C">
        <w:rPr>
          <w:sz w:val="18"/>
          <w:szCs w:val="18"/>
        </w:rPr>
        <w:t>,</w:t>
      </w:r>
      <w:r w:rsidR="00BF5A52" w:rsidRPr="007D009C">
        <w:rPr>
          <w:sz w:val="18"/>
          <w:szCs w:val="18"/>
        </w:rPr>
        <w:t xml:space="preserve"> L. Monaco</w:t>
      </w:r>
      <w:r w:rsidR="007D009C">
        <w:rPr>
          <w:sz w:val="18"/>
          <w:szCs w:val="18"/>
        </w:rPr>
        <w:t>,</w:t>
      </w:r>
      <w:r w:rsidR="00BF5A52" w:rsidRPr="007D009C">
        <w:rPr>
          <w:sz w:val="18"/>
          <w:szCs w:val="18"/>
        </w:rPr>
        <w:t xml:space="preserve"> Strategy of technology transfer of XFEL preparation technology to industry</w:t>
      </w:r>
      <w:r w:rsidR="007D009C">
        <w:rPr>
          <w:sz w:val="18"/>
          <w:szCs w:val="18"/>
        </w:rPr>
        <w:t>,</w:t>
      </w:r>
      <w:r w:rsidR="00BF5A52" w:rsidRPr="007D009C">
        <w:rPr>
          <w:sz w:val="18"/>
          <w:szCs w:val="18"/>
        </w:rPr>
        <w:t xml:space="preserve"> </w:t>
      </w:r>
      <w:r w:rsidR="007840DE">
        <w:rPr>
          <w:sz w:val="18"/>
          <w:szCs w:val="18"/>
        </w:rPr>
        <w:t xml:space="preserve">these </w:t>
      </w:r>
      <w:r w:rsidR="007840DE">
        <w:rPr>
          <w:sz w:val="18"/>
          <w:szCs w:val="18"/>
        </w:rPr>
        <w:t>proceedings</w:t>
      </w:r>
      <w:r w:rsidR="00BF5A52" w:rsidRPr="007D009C">
        <w:rPr>
          <w:sz w:val="18"/>
          <w:szCs w:val="18"/>
        </w:rPr>
        <w:t>.</w:t>
      </w:r>
    </w:p>
    <w:p w:rsidR="00BF5A52" w:rsidRPr="007D009C" w:rsidRDefault="00BF5A52" w:rsidP="007D009C">
      <w:pPr>
        <w:pStyle w:val="Reference"/>
        <w:rPr>
          <w:sz w:val="18"/>
          <w:szCs w:val="18"/>
        </w:rPr>
      </w:pPr>
      <w:proofErr w:type="gramStart"/>
      <w:r w:rsidRPr="007D009C">
        <w:rPr>
          <w:sz w:val="18"/>
          <w:szCs w:val="18"/>
        </w:rPr>
        <w:t>[</w:t>
      </w:r>
      <w:r w:rsidR="007C1014" w:rsidRPr="007D009C">
        <w:rPr>
          <w:sz w:val="18"/>
          <w:szCs w:val="18"/>
        </w:rPr>
        <w:t>6</w:t>
      </w:r>
      <w:r w:rsidRPr="007D009C">
        <w:rPr>
          <w:sz w:val="18"/>
          <w:szCs w:val="18"/>
        </w:rPr>
        <w:t>]</w:t>
      </w:r>
      <w:r w:rsidR="007840DE">
        <w:rPr>
          <w:sz w:val="18"/>
          <w:szCs w:val="18"/>
        </w:rPr>
        <w:tab/>
      </w:r>
      <w:r w:rsidRPr="007D009C">
        <w:rPr>
          <w:sz w:val="18"/>
          <w:szCs w:val="18"/>
        </w:rPr>
        <w:t xml:space="preserve">A. Matheisen, A. Schmidt, W. Singer, J. </w:t>
      </w:r>
      <w:proofErr w:type="spellStart"/>
      <w:r w:rsidRPr="007D009C">
        <w:rPr>
          <w:sz w:val="18"/>
          <w:szCs w:val="18"/>
        </w:rPr>
        <w:t>Iversen</w:t>
      </w:r>
      <w:proofErr w:type="spellEnd"/>
      <w:r w:rsidR="007D009C">
        <w:rPr>
          <w:sz w:val="18"/>
          <w:szCs w:val="18"/>
        </w:rPr>
        <w:t>,</w:t>
      </w:r>
      <w:r w:rsidRPr="007D009C">
        <w:rPr>
          <w:sz w:val="18"/>
          <w:szCs w:val="18"/>
        </w:rPr>
        <w:t xml:space="preserve"> Implementation of European Pressure Equipment Directive (PED) for certification of 1.3 GHz</w:t>
      </w:r>
      <w:r w:rsidR="007D009C">
        <w:rPr>
          <w:sz w:val="18"/>
          <w:szCs w:val="18"/>
        </w:rPr>
        <w:t xml:space="preserve"> </w:t>
      </w:r>
      <w:r w:rsidRPr="007D009C">
        <w:rPr>
          <w:sz w:val="18"/>
          <w:szCs w:val="18"/>
        </w:rPr>
        <w:t xml:space="preserve">superconducting resonators for the XFEL project, </w:t>
      </w:r>
      <w:r w:rsidR="007C1014" w:rsidRPr="007D009C">
        <w:rPr>
          <w:sz w:val="18"/>
          <w:szCs w:val="18"/>
        </w:rPr>
        <w:t>to be published</w:t>
      </w:r>
      <w:r w:rsidR="007840DE">
        <w:rPr>
          <w:sz w:val="18"/>
          <w:szCs w:val="18"/>
        </w:rPr>
        <w:t>.</w:t>
      </w:r>
      <w:proofErr w:type="gramEnd"/>
    </w:p>
    <w:p w:rsidR="005839F8" w:rsidRDefault="005839F8" w:rsidP="00165665"/>
    <w:p w:rsidR="00B270B3" w:rsidRPr="00165665" w:rsidRDefault="00B270B3" w:rsidP="00165665">
      <w:bookmarkStart w:id="1" w:name="_GoBack"/>
      <w:bookmarkEnd w:id="1"/>
    </w:p>
    <w:sectPr w:rsidR="00B270B3" w:rsidRPr="00165665" w:rsidSect="00074A20">
      <w:footnotePr>
        <w:pos w:val="beneathText"/>
        <w:numFmt w:val="chicago"/>
      </w:footnotePr>
      <w:endnotePr>
        <w:numFmt w:val="decimal"/>
      </w:endnotePr>
      <w:type w:val="continuous"/>
      <w:pgSz w:w="11907" w:h="16840" w:code="9"/>
      <w:pgMar w:top="2098" w:right="1134" w:bottom="1080" w:left="1134"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BD" w:rsidRDefault="000E7DBD"/>
  </w:endnote>
  <w:endnote w:type="continuationSeparator" w:id="0">
    <w:p w:rsidR="000E7DBD" w:rsidRDefault="000E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BD" w:rsidRDefault="000E7DBD">
      <w:r>
        <w:separator/>
      </w:r>
    </w:p>
  </w:footnote>
  <w:footnote w:type="continuationSeparator" w:id="0">
    <w:p w:rsidR="000E7DBD" w:rsidRDefault="000E7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EA7E36"/>
    <w:lvl w:ilvl="0">
      <w:start w:val="1"/>
      <w:numFmt w:val="decimal"/>
      <w:lvlText w:val="%1."/>
      <w:lvlJc w:val="left"/>
      <w:pPr>
        <w:tabs>
          <w:tab w:val="num" w:pos="1800"/>
        </w:tabs>
        <w:ind w:left="1800" w:hanging="360"/>
      </w:pPr>
    </w:lvl>
  </w:abstractNum>
  <w:abstractNum w:abstractNumId="1">
    <w:nsid w:val="FFFFFF7D"/>
    <w:multiLevelType w:val="singleLevel"/>
    <w:tmpl w:val="F6A4BABC"/>
    <w:lvl w:ilvl="0">
      <w:start w:val="1"/>
      <w:numFmt w:val="decimal"/>
      <w:lvlText w:val="%1."/>
      <w:lvlJc w:val="left"/>
      <w:pPr>
        <w:tabs>
          <w:tab w:val="num" w:pos="1440"/>
        </w:tabs>
        <w:ind w:left="1440" w:hanging="360"/>
      </w:pPr>
    </w:lvl>
  </w:abstractNum>
  <w:abstractNum w:abstractNumId="2">
    <w:nsid w:val="FFFFFF7E"/>
    <w:multiLevelType w:val="singleLevel"/>
    <w:tmpl w:val="8CBC7BE0"/>
    <w:lvl w:ilvl="0">
      <w:start w:val="1"/>
      <w:numFmt w:val="decimal"/>
      <w:lvlText w:val="%1."/>
      <w:lvlJc w:val="left"/>
      <w:pPr>
        <w:tabs>
          <w:tab w:val="num" w:pos="1080"/>
        </w:tabs>
        <w:ind w:left="1080" w:hanging="360"/>
      </w:pPr>
    </w:lvl>
  </w:abstractNum>
  <w:abstractNum w:abstractNumId="3">
    <w:nsid w:val="FFFFFF7F"/>
    <w:multiLevelType w:val="singleLevel"/>
    <w:tmpl w:val="80A22972"/>
    <w:lvl w:ilvl="0">
      <w:start w:val="1"/>
      <w:numFmt w:val="decimal"/>
      <w:lvlText w:val="%1."/>
      <w:lvlJc w:val="left"/>
      <w:pPr>
        <w:tabs>
          <w:tab w:val="num" w:pos="720"/>
        </w:tabs>
        <w:ind w:left="720" w:hanging="360"/>
      </w:pPr>
    </w:lvl>
  </w:abstractNum>
  <w:abstractNum w:abstractNumId="4">
    <w:nsid w:val="FFFFFF80"/>
    <w:multiLevelType w:val="singleLevel"/>
    <w:tmpl w:val="FF04F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2C11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B0C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FA3D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6894BC"/>
    <w:lvl w:ilvl="0">
      <w:start w:val="1"/>
      <w:numFmt w:val="decimal"/>
      <w:lvlText w:val="%1."/>
      <w:lvlJc w:val="left"/>
      <w:pPr>
        <w:tabs>
          <w:tab w:val="num" w:pos="360"/>
        </w:tabs>
        <w:ind w:left="360" w:hanging="360"/>
      </w:pPr>
    </w:lvl>
  </w:abstractNum>
  <w:abstractNum w:abstractNumId="9">
    <w:nsid w:val="FFFFFF89"/>
    <w:multiLevelType w:val="singleLevel"/>
    <w:tmpl w:val="06985E6A"/>
    <w:lvl w:ilvl="0">
      <w:start w:val="1"/>
      <w:numFmt w:val="bullet"/>
      <w:lvlText w:val=""/>
      <w:lvlJc w:val="left"/>
      <w:pPr>
        <w:tabs>
          <w:tab w:val="num" w:pos="360"/>
        </w:tabs>
        <w:ind w:left="360" w:hanging="360"/>
      </w:pPr>
      <w:rPr>
        <w:rFonts w:ascii="Symbol" w:hAnsi="Symbol" w:hint="default"/>
      </w:rPr>
    </w:lvl>
  </w:abstractNum>
  <w:abstractNum w:abstractNumId="10">
    <w:nsid w:val="045A12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324CD7"/>
    <w:multiLevelType w:val="hybridMultilevel"/>
    <w:tmpl w:val="0C5A38BE"/>
    <w:lvl w:ilvl="0" w:tplc="6D8E591C">
      <w:start w:val="1"/>
      <w:numFmt w:val="bullet"/>
      <w:pStyle w:val="BulletedList"/>
      <w:lvlText w:val=""/>
      <w:lvlJc w:val="left"/>
      <w:pPr>
        <w:tabs>
          <w:tab w:val="num" w:pos="389"/>
        </w:tabs>
        <w:ind w:left="389" w:hanging="20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9E1231"/>
    <w:multiLevelType w:val="hybridMultilevel"/>
    <w:tmpl w:val="A67453D2"/>
    <w:lvl w:ilvl="0" w:tplc="289A2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0A0097"/>
    <w:multiLevelType w:val="hybridMultilevel"/>
    <w:tmpl w:val="0900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1427A8"/>
    <w:multiLevelType w:val="hybridMultilevel"/>
    <w:tmpl w:val="205E0C46"/>
    <w:lvl w:ilvl="0" w:tplc="4DE2586A">
      <w:start w:val="1"/>
      <w:numFmt w:val="decimal"/>
      <w:lvlText w:val="%1"/>
      <w:lvlJc w:val="left"/>
      <w:pPr>
        <w:tabs>
          <w:tab w:val="num" w:pos="360"/>
        </w:tabs>
        <w:ind w:left="360" w:hanging="360"/>
      </w:pPr>
      <w:rPr>
        <w:rFonts w:ascii="Times" w:hAnsi="Times" w:hint="default"/>
        <w:b/>
        <w:i w:val="0"/>
        <w:sz w:val="24"/>
      </w:rPr>
    </w:lvl>
    <w:lvl w:ilvl="1" w:tplc="3724E022">
      <w:numFmt w:val="none"/>
      <w:lvlText w:val=""/>
      <w:lvlJc w:val="left"/>
      <w:pPr>
        <w:tabs>
          <w:tab w:val="num" w:pos="360"/>
        </w:tabs>
      </w:pPr>
    </w:lvl>
    <w:lvl w:ilvl="2" w:tplc="3BA20238">
      <w:numFmt w:val="none"/>
      <w:lvlText w:val=""/>
      <w:lvlJc w:val="left"/>
      <w:pPr>
        <w:tabs>
          <w:tab w:val="num" w:pos="360"/>
        </w:tabs>
      </w:pPr>
    </w:lvl>
    <w:lvl w:ilvl="3" w:tplc="998E4A0A">
      <w:numFmt w:val="none"/>
      <w:lvlText w:val=""/>
      <w:lvlJc w:val="left"/>
      <w:pPr>
        <w:tabs>
          <w:tab w:val="num" w:pos="360"/>
        </w:tabs>
      </w:pPr>
    </w:lvl>
    <w:lvl w:ilvl="4" w:tplc="C4D83908">
      <w:numFmt w:val="none"/>
      <w:lvlText w:val=""/>
      <w:lvlJc w:val="left"/>
      <w:pPr>
        <w:tabs>
          <w:tab w:val="num" w:pos="360"/>
        </w:tabs>
      </w:pPr>
    </w:lvl>
    <w:lvl w:ilvl="5" w:tplc="78FE03DA">
      <w:numFmt w:val="none"/>
      <w:lvlText w:val=""/>
      <w:lvlJc w:val="left"/>
      <w:pPr>
        <w:tabs>
          <w:tab w:val="num" w:pos="360"/>
        </w:tabs>
      </w:pPr>
    </w:lvl>
    <w:lvl w:ilvl="6" w:tplc="24AAE1CA">
      <w:numFmt w:val="none"/>
      <w:lvlText w:val=""/>
      <w:lvlJc w:val="left"/>
      <w:pPr>
        <w:tabs>
          <w:tab w:val="num" w:pos="360"/>
        </w:tabs>
      </w:pPr>
    </w:lvl>
    <w:lvl w:ilvl="7" w:tplc="AC7C8E80">
      <w:numFmt w:val="none"/>
      <w:lvlText w:val=""/>
      <w:lvlJc w:val="left"/>
      <w:pPr>
        <w:tabs>
          <w:tab w:val="num" w:pos="360"/>
        </w:tabs>
      </w:pPr>
    </w:lvl>
    <w:lvl w:ilvl="8" w:tplc="5EA8CA18">
      <w:numFmt w:val="none"/>
      <w:lvlText w:val=""/>
      <w:lvlJc w:val="left"/>
      <w:pPr>
        <w:tabs>
          <w:tab w:val="num" w:pos="360"/>
        </w:tabs>
      </w:pPr>
    </w:lvl>
  </w:abstractNum>
  <w:abstractNum w:abstractNumId="16">
    <w:nsid w:val="67016AE4"/>
    <w:multiLevelType w:val="hybridMultilevel"/>
    <w:tmpl w:val="F82663B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5"/>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29"/>
  <w:drawingGridVerticalSpacing w:val="187"/>
  <w:displayHorizontalDrawingGridEvery w:val="2"/>
  <w:displayVerticalDrawingGridEvery w:val="2"/>
  <w:noPunctuationKerning/>
  <w:characterSpacingControl w:val="doNotCompress"/>
  <w:footnotePr>
    <w:pos w:val="beneathText"/>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5"/>
    <w:rsid w:val="0000165E"/>
    <w:rsid w:val="00012A46"/>
    <w:rsid w:val="00012BA6"/>
    <w:rsid w:val="00025A34"/>
    <w:rsid w:val="00045505"/>
    <w:rsid w:val="00052CB4"/>
    <w:rsid w:val="00061A03"/>
    <w:rsid w:val="0007203F"/>
    <w:rsid w:val="000728D4"/>
    <w:rsid w:val="00074A20"/>
    <w:rsid w:val="00091532"/>
    <w:rsid w:val="000955DC"/>
    <w:rsid w:val="00096396"/>
    <w:rsid w:val="000A2A9A"/>
    <w:rsid w:val="000C2401"/>
    <w:rsid w:val="000C4D01"/>
    <w:rsid w:val="000D36F0"/>
    <w:rsid w:val="000E1BEA"/>
    <w:rsid w:val="000E28FD"/>
    <w:rsid w:val="000E57D6"/>
    <w:rsid w:val="000E7DBD"/>
    <w:rsid w:val="000F3075"/>
    <w:rsid w:val="000F40BB"/>
    <w:rsid w:val="00110795"/>
    <w:rsid w:val="00115825"/>
    <w:rsid w:val="00121BBA"/>
    <w:rsid w:val="00131CD1"/>
    <w:rsid w:val="0013477F"/>
    <w:rsid w:val="00141B1F"/>
    <w:rsid w:val="001518FB"/>
    <w:rsid w:val="0016160E"/>
    <w:rsid w:val="00165665"/>
    <w:rsid w:val="00177959"/>
    <w:rsid w:val="00180687"/>
    <w:rsid w:val="00183528"/>
    <w:rsid w:val="00195092"/>
    <w:rsid w:val="00197AAE"/>
    <w:rsid w:val="00197C08"/>
    <w:rsid w:val="001B448B"/>
    <w:rsid w:val="001B54E2"/>
    <w:rsid w:val="001C0448"/>
    <w:rsid w:val="001C3CE3"/>
    <w:rsid w:val="001C705C"/>
    <w:rsid w:val="001D6284"/>
    <w:rsid w:val="001F111B"/>
    <w:rsid w:val="001F3D26"/>
    <w:rsid w:val="001F4D76"/>
    <w:rsid w:val="00205E01"/>
    <w:rsid w:val="0020622C"/>
    <w:rsid w:val="0022392B"/>
    <w:rsid w:val="002320C6"/>
    <w:rsid w:val="0024170C"/>
    <w:rsid w:val="00246B4A"/>
    <w:rsid w:val="002473D3"/>
    <w:rsid w:val="002523A0"/>
    <w:rsid w:val="00252B95"/>
    <w:rsid w:val="00265E81"/>
    <w:rsid w:val="002C03C8"/>
    <w:rsid w:val="002C6318"/>
    <w:rsid w:val="002D68EC"/>
    <w:rsid w:val="002D6E8B"/>
    <w:rsid w:val="002E17E6"/>
    <w:rsid w:val="002E1EA8"/>
    <w:rsid w:val="003003BA"/>
    <w:rsid w:val="003070A3"/>
    <w:rsid w:val="00313A64"/>
    <w:rsid w:val="003173B3"/>
    <w:rsid w:val="00320585"/>
    <w:rsid w:val="003314D6"/>
    <w:rsid w:val="003412C6"/>
    <w:rsid w:val="0035504F"/>
    <w:rsid w:val="00371585"/>
    <w:rsid w:val="0037743E"/>
    <w:rsid w:val="00380F1F"/>
    <w:rsid w:val="003830E5"/>
    <w:rsid w:val="003919A2"/>
    <w:rsid w:val="00391FA0"/>
    <w:rsid w:val="00394F4B"/>
    <w:rsid w:val="003A298D"/>
    <w:rsid w:val="003B118F"/>
    <w:rsid w:val="003C01DE"/>
    <w:rsid w:val="003C1499"/>
    <w:rsid w:val="003C2B35"/>
    <w:rsid w:val="003C52DD"/>
    <w:rsid w:val="003D6B51"/>
    <w:rsid w:val="003E12C0"/>
    <w:rsid w:val="003E6052"/>
    <w:rsid w:val="003E6A42"/>
    <w:rsid w:val="003F1287"/>
    <w:rsid w:val="003F21EF"/>
    <w:rsid w:val="003F22B1"/>
    <w:rsid w:val="003F4605"/>
    <w:rsid w:val="003F56C0"/>
    <w:rsid w:val="004008FA"/>
    <w:rsid w:val="00407FEA"/>
    <w:rsid w:val="00410C90"/>
    <w:rsid w:val="00412FBA"/>
    <w:rsid w:val="0042179D"/>
    <w:rsid w:val="00430C0C"/>
    <w:rsid w:val="00437DF8"/>
    <w:rsid w:val="0044416A"/>
    <w:rsid w:val="004448E9"/>
    <w:rsid w:val="0045008E"/>
    <w:rsid w:val="00466B11"/>
    <w:rsid w:val="00467BEE"/>
    <w:rsid w:val="00480C8B"/>
    <w:rsid w:val="00495C74"/>
    <w:rsid w:val="0049682F"/>
    <w:rsid w:val="004A0C1B"/>
    <w:rsid w:val="004A1546"/>
    <w:rsid w:val="004A211B"/>
    <w:rsid w:val="004A4380"/>
    <w:rsid w:val="004B3DB8"/>
    <w:rsid w:val="004D7D9A"/>
    <w:rsid w:val="004F2A1D"/>
    <w:rsid w:val="005238D8"/>
    <w:rsid w:val="0053589D"/>
    <w:rsid w:val="00544A3E"/>
    <w:rsid w:val="005456CB"/>
    <w:rsid w:val="00550297"/>
    <w:rsid w:val="00561441"/>
    <w:rsid w:val="00562039"/>
    <w:rsid w:val="005705AA"/>
    <w:rsid w:val="00571EE6"/>
    <w:rsid w:val="0057709A"/>
    <w:rsid w:val="005779BE"/>
    <w:rsid w:val="005804BB"/>
    <w:rsid w:val="005810E9"/>
    <w:rsid w:val="005817DB"/>
    <w:rsid w:val="00582547"/>
    <w:rsid w:val="005839F8"/>
    <w:rsid w:val="005909C8"/>
    <w:rsid w:val="0059229B"/>
    <w:rsid w:val="005A1FF8"/>
    <w:rsid w:val="005B1652"/>
    <w:rsid w:val="005B1725"/>
    <w:rsid w:val="005C0B1F"/>
    <w:rsid w:val="005C299A"/>
    <w:rsid w:val="005C7B91"/>
    <w:rsid w:val="005E24F7"/>
    <w:rsid w:val="005E3F3F"/>
    <w:rsid w:val="005E48CA"/>
    <w:rsid w:val="005F2573"/>
    <w:rsid w:val="005F6709"/>
    <w:rsid w:val="00611051"/>
    <w:rsid w:val="00633FBC"/>
    <w:rsid w:val="00642159"/>
    <w:rsid w:val="006462AB"/>
    <w:rsid w:val="006560C3"/>
    <w:rsid w:val="006652F6"/>
    <w:rsid w:val="00681166"/>
    <w:rsid w:val="00682DFC"/>
    <w:rsid w:val="006845B5"/>
    <w:rsid w:val="00691F2F"/>
    <w:rsid w:val="00693A0F"/>
    <w:rsid w:val="006971B1"/>
    <w:rsid w:val="006C58CD"/>
    <w:rsid w:val="006E6D0B"/>
    <w:rsid w:val="006F69A8"/>
    <w:rsid w:val="00705910"/>
    <w:rsid w:val="00732D75"/>
    <w:rsid w:val="00761218"/>
    <w:rsid w:val="00781B6D"/>
    <w:rsid w:val="007840DE"/>
    <w:rsid w:val="00785249"/>
    <w:rsid w:val="00786095"/>
    <w:rsid w:val="007875EC"/>
    <w:rsid w:val="00793CCF"/>
    <w:rsid w:val="007B3169"/>
    <w:rsid w:val="007C0016"/>
    <w:rsid w:val="007C1014"/>
    <w:rsid w:val="007D009C"/>
    <w:rsid w:val="007D1D1F"/>
    <w:rsid w:val="007F0FB3"/>
    <w:rsid w:val="007F29FF"/>
    <w:rsid w:val="007F5A39"/>
    <w:rsid w:val="007F7E2F"/>
    <w:rsid w:val="00801CB2"/>
    <w:rsid w:val="0080410F"/>
    <w:rsid w:val="008072A4"/>
    <w:rsid w:val="00815851"/>
    <w:rsid w:val="008159FA"/>
    <w:rsid w:val="008337EE"/>
    <w:rsid w:val="008444AE"/>
    <w:rsid w:val="0088185E"/>
    <w:rsid w:val="00885233"/>
    <w:rsid w:val="00887E64"/>
    <w:rsid w:val="008942A6"/>
    <w:rsid w:val="008A01FD"/>
    <w:rsid w:val="008B5478"/>
    <w:rsid w:val="008D51BA"/>
    <w:rsid w:val="008D7A61"/>
    <w:rsid w:val="008E4A1D"/>
    <w:rsid w:val="008F5E79"/>
    <w:rsid w:val="008F6BF2"/>
    <w:rsid w:val="00900BF1"/>
    <w:rsid w:val="0090321D"/>
    <w:rsid w:val="009103D6"/>
    <w:rsid w:val="00910D42"/>
    <w:rsid w:val="00922E46"/>
    <w:rsid w:val="00924B29"/>
    <w:rsid w:val="00937D76"/>
    <w:rsid w:val="00952EFC"/>
    <w:rsid w:val="0095536E"/>
    <w:rsid w:val="00963151"/>
    <w:rsid w:val="00963B7F"/>
    <w:rsid w:val="00973EE7"/>
    <w:rsid w:val="00974A17"/>
    <w:rsid w:val="00991EAA"/>
    <w:rsid w:val="00995391"/>
    <w:rsid w:val="00995B5C"/>
    <w:rsid w:val="009A0831"/>
    <w:rsid w:val="009A2B9D"/>
    <w:rsid w:val="009B2D6E"/>
    <w:rsid w:val="009B2EAA"/>
    <w:rsid w:val="009B3B8C"/>
    <w:rsid w:val="009C1862"/>
    <w:rsid w:val="009C21D3"/>
    <w:rsid w:val="009C5D88"/>
    <w:rsid w:val="009D1438"/>
    <w:rsid w:val="009F44EA"/>
    <w:rsid w:val="009F69FB"/>
    <w:rsid w:val="00A03BCB"/>
    <w:rsid w:val="00A045D8"/>
    <w:rsid w:val="00A06B28"/>
    <w:rsid w:val="00A21467"/>
    <w:rsid w:val="00A26A29"/>
    <w:rsid w:val="00A36DAD"/>
    <w:rsid w:val="00A45AC9"/>
    <w:rsid w:val="00A46EA7"/>
    <w:rsid w:val="00A715DE"/>
    <w:rsid w:val="00A77C12"/>
    <w:rsid w:val="00A810B7"/>
    <w:rsid w:val="00A840B9"/>
    <w:rsid w:val="00A914BD"/>
    <w:rsid w:val="00AA57DB"/>
    <w:rsid w:val="00AA5C9C"/>
    <w:rsid w:val="00AB1310"/>
    <w:rsid w:val="00AB229A"/>
    <w:rsid w:val="00AC78D2"/>
    <w:rsid w:val="00AD4684"/>
    <w:rsid w:val="00AD5D75"/>
    <w:rsid w:val="00AE156C"/>
    <w:rsid w:val="00AE3D5A"/>
    <w:rsid w:val="00AF0A1B"/>
    <w:rsid w:val="00B1381A"/>
    <w:rsid w:val="00B201AE"/>
    <w:rsid w:val="00B229FB"/>
    <w:rsid w:val="00B261B1"/>
    <w:rsid w:val="00B270B3"/>
    <w:rsid w:val="00B3451C"/>
    <w:rsid w:val="00B41216"/>
    <w:rsid w:val="00B44569"/>
    <w:rsid w:val="00B51165"/>
    <w:rsid w:val="00B5545D"/>
    <w:rsid w:val="00B71633"/>
    <w:rsid w:val="00B75D5E"/>
    <w:rsid w:val="00B913BF"/>
    <w:rsid w:val="00BA28B1"/>
    <w:rsid w:val="00BA664F"/>
    <w:rsid w:val="00BB2994"/>
    <w:rsid w:val="00BB7EA8"/>
    <w:rsid w:val="00BC2E1F"/>
    <w:rsid w:val="00BC515F"/>
    <w:rsid w:val="00BC5ACA"/>
    <w:rsid w:val="00BC6C9C"/>
    <w:rsid w:val="00BD7331"/>
    <w:rsid w:val="00BF1A46"/>
    <w:rsid w:val="00BF5A52"/>
    <w:rsid w:val="00C04D93"/>
    <w:rsid w:val="00C14330"/>
    <w:rsid w:val="00C174E4"/>
    <w:rsid w:val="00C2234F"/>
    <w:rsid w:val="00C2538A"/>
    <w:rsid w:val="00C36F6E"/>
    <w:rsid w:val="00C474D4"/>
    <w:rsid w:val="00C51B8D"/>
    <w:rsid w:val="00C5430F"/>
    <w:rsid w:val="00C612B7"/>
    <w:rsid w:val="00C65177"/>
    <w:rsid w:val="00C7029C"/>
    <w:rsid w:val="00C73686"/>
    <w:rsid w:val="00C7632F"/>
    <w:rsid w:val="00C86DB4"/>
    <w:rsid w:val="00CC045B"/>
    <w:rsid w:val="00CC1A25"/>
    <w:rsid w:val="00CC1A39"/>
    <w:rsid w:val="00CC6978"/>
    <w:rsid w:val="00CE04C8"/>
    <w:rsid w:val="00CE340F"/>
    <w:rsid w:val="00CE6DBA"/>
    <w:rsid w:val="00D0240C"/>
    <w:rsid w:val="00D11646"/>
    <w:rsid w:val="00D33155"/>
    <w:rsid w:val="00D373BB"/>
    <w:rsid w:val="00D5280E"/>
    <w:rsid w:val="00D550FB"/>
    <w:rsid w:val="00D57716"/>
    <w:rsid w:val="00D6079F"/>
    <w:rsid w:val="00D60F78"/>
    <w:rsid w:val="00D66AB7"/>
    <w:rsid w:val="00D869C2"/>
    <w:rsid w:val="00D928FF"/>
    <w:rsid w:val="00DB4D20"/>
    <w:rsid w:val="00DE0320"/>
    <w:rsid w:val="00DE79DC"/>
    <w:rsid w:val="00DF17D0"/>
    <w:rsid w:val="00E00F40"/>
    <w:rsid w:val="00E14F13"/>
    <w:rsid w:val="00E15805"/>
    <w:rsid w:val="00E27A77"/>
    <w:rsid w:val="00E30496"/>
    <w:rsid w:val="00E33B6E"/>
    <w:rsid w:val="00E33C83"/>
    <w:rsid w:val="00E41BD6"/>
    <w:rsid w:val="00E5725C"/>
    <w:rsid w:val="00E6187A"/>
    <w:rsid w:val="00E70DA6"/>
    <w:rsid w:val="00EA22A9"/>
    <w:rsid w:val="00EA2AA5"/>
    <w:rsid w:val="00EA50A8"/>
    <w:rsid w:val="00EC0700"/>
    <w:rsid w:val="00EC0E0A"/>
    <w:rsid w:val="00EC74E3"/>
    <w:rsid w:val="00ED4E0E"/>
    <w:rsid w:val="00EF13D7"/>
    <w:rsid w:val="00EF2171"/>
    <w:rsid w:val="00EF2CEA"/>
    <w:rsid w:val="00EF63DE"/>
    <w:rsid w:val="00F15301"/>
    <w:rsid w:val="00F22E5B"/>
    <w:rsid w:val="00F328AA"/>
    <w:rsid w:val="00F35B3E"/>
    <w:rsid w:val="00F366B7"/>
    <w:rsid w:val="00F4163E"/>
    <w:rsid w:val="00F4797F"/>
    <w:rsid w:val="00F5468B"/>
    <w:rsid w:val="00F739EC"/>
    <w:rsid w:val="00F76D19"/>
    <w:rsid w:val="00F929B9"/>
    <w:rsid w:val="00F955FD"/>
    <w:rsid w:val="00FA4B60"/>
    <w:rsid w:val="00FC3678"/>
    <w:rsid w:val="00FF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w:hAnsi="Times"/>
      <w:szCs w:val="24"/>
      <w:lang w:val="en-GB"/>
    </w:rPr>
  </w:style>
  <w:style w:type="paragraph" w:styleId="Titre1">
    <w:name w:val="heading 1"/>
    <w:aliases w:val="Paper Title"/>
    <w:next w:val="AuthorList"/>
    <w:qFormat/>
    <w:rsid w:val="006C58CD"/>
    <w:pPr>
      <w:keepNext/>
      <w:spacing w:after="60"/>
      <w:jc w:val="center"/>
      <w:outlineLvl w:val="0"/>
    </w:pPr>
    <w:rPr>
      <w:rFonts w:cs="Arial"/>
      <w:b/>
      <w:bCs/>
      <w:caps/>
      <w:kern w:val="32"/>
      <w:sz w:val="28"/>
      <w:szCs w:val="32"/>
      <w:lang w:val="en-GB"/>
    </w:rPr>
  </w:style>
  <w:style w:type="paragraph" w:styleId="Titre2">
    <w:name w:val="heading 2"/>
    <w:aliases w:val="Section Heading"/>
    <w:next w:val="Retraitcorpsdetexte"/>
    <w:qFormat/>
    <w:rsid w:val="006C58CD"/>
    <w:pPr>
      <w:keepNext/>
      <w:spacing w:before="240" w:after="60"/>
      <w:jc w:val="center"/>
      <w:outlineLvl w:val="1"/>
    </w:pPr>
    <w:rPr>
      <w:rFonts w:cs="Arial"/>
      <w:b/>
      <w:bCs/>
      <w:iCs/>
      <w:caps/>
      <w:kern w:val="16"/>
      <w:sz w:val="24"/>
      <w:szCs w:val="28"/>
      <w:lang w:val="en-GB"/>
    </w:rPr>
  </w:style>
  <w:style w:type="paragraph" w:styleId="Titre3">
    <w:name w:val="heading 3"/>
    <w:aliases w:val="Subsection Heading"/>
    <w:next w:val="Retraitcorpsdetexte"/>
    <w:link w:val="Titre3Car"/>
    <w:qFormat/>
    <w:rsid w:val="006C58CD"/>
    <w:pPr>
      <w:keepNext/>
      <w:spacing w:before="120" w:after="60"/>
      <w:outlineLvl w:val="2"/>
    </w:pPr>
    <w:rPr>
      <w:rFonts w:cs="Arial"/>
      <w:bCs/>
      <w:i/>
      <w:sz w:val="24"/>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rsid w:val="006C58CD"/>
    <w:rPr>
      <w:sz w:val="16"/>
      <w:lang w:val="en-GB"/>
    </w:rPr>
  </w:style>
  <w:style w:type="paragraph" w:customStyle="1" w:styleId="AbstractTitle">
    <w:name w:val="Abstract Title"/>
    <w:next w:val="Retraitcorpsdetexte"/>
    <w:rsid w:val="002C6318"/>
    <w:rPr>
      <w:i/>
      <w:sz w:val="24"/>
      <w:szCs w:val="24"/>
      <w:lang w:val="en-GB"/>
    </w:rPr>
  </w:style>
  <w:style w:type="paragraph" w:customStyle="1" w:styleId="AuthorList">
    <w:name w:val="Author List"/>
    <w:next w:val="AbstractTitle"/>
    <w:autoRedefine/>
    <w:rsid w:val="00DE79DC"/>
    <w:pPr>
      <w:spacing w:before="180" w:after="240"/>
      <w:jc w:val="center"/>
    </w:pPr>
    <w:rPr>
      <w:sz w:val="24"/>
      <w:szCs w:val="24"/>
      <w:lang w:val="en-GB"/>
    </w:rPr>
  </w:style>
  <w:style w:type="paragraph" w:customStyle="1" w:styleId="FigureCaption">
    <w:name w:val="Figure Caption"/>
    <w:next w:val="Retraitcorpsdetexte"/>
    <w:rsid w:val="002C6318"/>
    <w:pPr>
      <w:spacing w:before="60" w:after="120"/>
      <w:jc w:val="center"/>
    </w:pPr>
    <w:rPr>
      <w:szCs w:val="24"/>
      <w:lang w:val="en-GB"/>
    </w:rPr>
  </w:style>
  <w:style w:type="paragraph" w:customStyle="1" w:styleId="TableCaption">
    <w:name w:val="Table Caption"/>
    <w:next w:val="Retraitcorpsdetexte"/>
    <w:rsid w:val="006C58CD"/>
    <w:pPr>
      <w:spacing w:before="60" w:after="60"/>
      <w:jc w:val="center"/>
    </w:pPr>
    <w:rPr>
      <w:szCs w:val="24"/>
      <w:lang w:val="en-GB"/>
    </w:rPr>
  </w:style>
  <w:style w:type="character" w:styleId="Appelnotedebasdep">
    <w:name w:val="footnote reference"/>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TextChar">
    <w:name w:val="Reference Text Char"/>
    <w:basedOn w:val="Normal"/>
    <w:link w:val="ReferenceTextCharChar"/>
    <w:autoRedefine/>
    <w:rsid w:val="00E15805"/>
    <w:pPr>
      <w:tabs>
        <w:tab w:val="left" w:pos="360"/>
      </w:tabs>
      <w:ind w:left="360" w:hanging="360"/>
    </w:pPr>
    <w:rPr>
      <w:rFonts w:ascii="Times New Roman" w:hAnsi="Times New Roman"/>
    </w:rPr>
  </w:style>
  <w:style w:type="paragraph" w:styleId="Retraitcorpsdetexte">
    <w:name w:val="Body Text Indent"/>
    <w:link w:val="RetraitcorpsdetexteCar"/>
    <w:rsid w:val="002C6318"/>
    <w:pPr>
      <w:ind w:firstLine="187"/>
      <w:jc w:val="both"/>
    </w:pPr>
    <w:rPr>
      <w:lang w:val="en-GB"/>
    </w:rPr>
  </w:style>
  <w:style w:type="character" w:styleId="Lienhypertexte">
    <w:name w:val="Hyperlink"/>
    <w:rPr>
      <w:color w:val="0000FF"/>
      <w:u w:val="single"/>
    </w:rPr>
  </w:style>
  <w:style w:type="paragraph" w:customStyle="1" w:styleId="BulletedList">
    <w:name w:val="Bulleted List"/>
    <w:rsid w:val="003C52DD"/>
    <w:pPr>
      <w:numPr>
        <w:numId w:val="2"/>
      </w:numPr>
      <w:jc w:val="both"/>
    </w:pPr>
    <w:rPr>
      <w:szCs w:val="24"/>
      <w:lang w:val="en-GB"/>
    </w:rPr>
  </w:style>
  <w:style w:type="character" w:customStyle="1" w:styleId="ReferenceTextCharChar">
    <w:name w:val="Reference Text Char Char"/>
    <w:link w:val="ReferenceTextChar"/>
    <w:rsid w:val="00E15805"/>
    <w:rPr>
      <w:szCs w:val="24"/>
      <w:lang w:val="en-GB"/>
    </w:rPr>
  </w:style>
  <w:style w:type="paragraph" w:styleId="Lgende">
    <w:name w:val="caption"/>
    <w:basedOn w:val="Normal"/>
    <w:next w:val="Normal"/>
    <w:qFormat/>
    <w:pPr>
      <w:spacing w:before="120" w:after="120"/>
    </w:pPr>
    <w:rPr>
      <w:b/>
      <w:bCs/>
      <w:szCs w:val="20"/>
    </w:rPr>
  </w:style>
  <w:style w:type="paragraph" w:customStyle="1" w:styleId="BodyTextNoIndent">
    <w:name w:val="Body Text No Indent"/>
    <w:basedOn w:val="Retraitcorpsdetexte"/>
    <w:rsid w:val="002C6318"/>
    <w:pPr>
      <w:ind w:firstLine="0"/>
    </w:pPr>
  </w:style>
  <w:style w:type="paragraph" w:customStyle="1" w:styleId="FigureCaptionMultiLine">
    <w:name w:val="Figure Caption Multi Line"/>
    <w:basedOn w:val="FigureCaption"/>
    <w:next w:val="Retraitcorpsdetexte"/>
    <w:rsid w:val="006C58CD"/>
    <w:pPr>
      <w:jc w:val="both"/>
    </w:pPr>
    <w:rPr>
      <w:szCs w:val="20"/>
    </w:rPr>
  </w:style>
  <w:style w:type="paragraph" w:customStyle="1" w:styleId="TableCaptionMultiLine">
    <w:name w:val="Table Caption Multi Line"/>
    <w:basedOn w:val="TableCaption"/>
    <w:next w:val="Retraitcorpsdetexte"/>
    <w:rsid w:val="00E15805"/>
    <w:pPr>
      <w:jc w:val="both"/>
    </w:pPr>
    <w:rPr>
      <w:szCs w:val="20"/>
    </w:rPr>
  </w:style>
  <w:style w:type="paragraph" w:styleId="Textedebulles">
    <w:name w:val="Balloon Text"/>
    <w:basedOn w:val="Normal"/>
    <w:link w:val="TextedebullesCar"/>
    <w:uiPriority w:val="99"/>
    <w:semiHidden/>
    <w:unhideWhenUsed/>
    <w:rsid w:val="007F5A39"/>
    <w:rPr>
      <w:rFonts w:ascii="Tahoma" w:hAnsi="Tahoma" w:cs="Tahoma"/>
      <w:sz w:val="16"/>
      <w:szCs w:val="16"/>
    </w:rPr>
  </w:style>
  <w:style w:type="character" w:customStyle="1" w:styleId="TextedebullesCar">
    <w:name w:val="Texte de bulles Car"/>
    <w:basedOn w:val="Policepardfaut"/>
    <w:link w:val="Textedebulles"/>
    <w:uiPriority w:val="99"/>
    <w:semiHidden/>
    <w:rsid w:val="007F5A39"/>
    <w:rPr>
      <w:rFonts w:ascii="Tahoma" w:hAnsi="Tahoma" w:cs="Tahoma"/>
      <w:sz w:val="16"/>
      <w:szCs w:val="16"/>
      <w:lang w:val="en-GB"/>
    </w:rPr>
  </w:style>
  <w:style w:type="paragraph" w:styleId="Textebrut">
    <w:name w:val="Plain Text"/>
    <w:basedOn w:val="Normal"/>
    <w:link w:val="TextebrutCar"/>
    <w:uiPriority w:val="99"/>
    <w:unhideWhenUsed/>
    <w:rsid w:val="007F5A39"/>
    <w:pPr>
      <w:jc w:val="left"/>
    </w:pPr>
    <w:rPr>
      <w:rFonts w:ascii="Calibri" w:eastAsiaTheme="minorHAnsi" w:hAnsi="Calibri" w:cstheme="minorBidi"/>
      <w:sz w:val="22"/>
      <w:szCs w:val="21"/>
      <w:lang w:val="en-US"/>
    </w:rPr>
  </w:style>
  <w:style w:type="character" w:customStyle="1" w:styleId="TextebrutCar">
    <w:name w:val="Texte brut Car"/>
    <w:basedOn w:val="Policepardfaut"/>
    <w:link w:val="Textebrut"/>
    <w:uiPriority w:val="99"/>
    <w:rsid w:val="007F5A39"/>
    <w:rPr>
      <w:rFonts w:ascii="Calibri" w:eastAsiaTheme="minorHAnsi" w:hAnsi="Calibri" w:cstheme="minorBidi"/>
      <w:sz w:val="22"/>
      <w:szCs w:val="21"/>
    </w:rPr>
  </w:style>
  <w:style w:type="paragraph" w:styleId="Sansinterligne">
    <w:name w:val="No Spacing"/>
    <w:uiPriority w:val="1"/>
    <w:qFormat/>
    <w:rsid w:val="004A0C1B"/>
    <w:rPr>
      <w:rFonts w:asciiTheme="minorHAnsi" w:eastAsiaTheme="minorHAnsi" w:hAnsiTheme="minorHAnsi" w:cstheme="minorBidi"/>
      <w:sz w:val="22"/>
      <w:szCs w:val="22"/>
    </w:rPr>
  </w:style>
  <w:style w:type="paragraph" w:styleId="Sous-titre">
    <w:name w:val="Subtitle"/>
    <w:basedOn w:val="Normal"/>
    <w:next w:val="Normal"/>
    <w:link w:val="Sous-titreCar"/>
    <w:uiPriority w:val="11"/>
    <w:qFormat/>
    <w:rsid w:val="00550297"/>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550297"/>
    <w:rPr>
      <w:rFonts w:asciiTheme="majorHAnsi" w:eastAsiaTheme="majorEastAsia" w:hAnsiTheme="majorHAnsi" w:cstheme="majorBidi"/>
      <w:i/>
      <w:iCs/>
      <w:color w:val="4F81BD" w:themeColor="accent1"/>
      <w:spacing w:val="15"/>
      <w:sz w:val="24"/>
      <w:szCs w:val="24"/>
      <w:lang w:val="en-GB"/>
    </w:rPr>
  </w:style>
  <w:style w:type="table" w:styleId="Grilledutableau">
    <w:name w:val="Table Grid"/>
    <w:basedOn w:val="TableauNormal"/>
    <w:uiPriority w:val="59"/>
    <w:rsid w:val="00ED4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A840B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5A1FF8"/>
    <w:pPr>
      <w:spacing w:before="100" w:beforeAutospacing="1" w:after="100" w:afterAutospacing="1"/>
      <w:jc w:val="left"/>
    </w:pPr>
    <w:rPr>
      <w:rFonts w:ascii="Times New Roman" w:hAnsi="Times New Roman"/>
      <w:sz w:val="24"/>
      <w:lang w:val="en-US"/>
    </w:rPr>
  </w:style>
  <w:style w:type="character" w:customStyle="1" w:styleId="RetraitcorpsdetexteCar">
    <w:name w:val="Retrait corps de texte Car"/>
    <w:basedOn w:val="Policepardfaut"/>
    <w:link w:val="Retraitcorpsdetexte"/>
    <w:rsid w:val="005A1FF8"/>
    <w:rPr>
      <w:lang w:val="en-GB"/>
    </w:rPr>
  </w:style>
  <w:style w:type="character" w:customStyle="1" w:styleId="Titre3Car">
    <w:name w:val="Titre 3 Car"/>
    <w:aliases w:val="Subsection Heading Car"/>
    <w:basedOn w:val="Policepardfaut"/>
    <w:link w:val="Titre3"/>
    <w:rsid w:val="00E15805"/>
    <w:rPr>
      <w:rFonts w:cs="Arial"/>
      <w:bCs/>
      <w:i/>
      <w:sz w:val="24"/>
      <w:szCs w:val="26"/>
      <w:lang w:val="en-GB"/>
    </w:rPr>
  </w:style>
  <w:style w:type="character" w:styleId="Accentuation">
    <w:name w:val="Emphasis"/>
    <w:basedOn w:val="Policepardfaut"/>
    <w:uiPriority w:val="20"/>
    <w:qFormat/>
    <w:rsid w:val="00CC1A25"/>
    <w:rPr>
      <w:b/>
      <w:bCs/>
      <w:i w:val="0"/>
      <w:iCs w:val="0"/>
    </w:rPr>
  </w:style>
  <w:style w:type="character" w:customStyle="1" w:styleId="st1">
    <w:name w:val="st1"/>
    <w:basedOn w:val="Policepardfaut"/>
    <w:rsid w:val="00CC1A25"/>
  </w:style>
  <w:style w:type="paragraph" w:customStyle="1" w:styleId="arialboldbianco">
    <w:name w:val="arial_bold_bianco"/>
    <w:basedOn w:val="Normal"/>
    <w:rsid w:val="00C14330"/>
    <w:pPr>
      <w:jc w:val="left"/>
    </w:pPr>
    <w:rPr>
      <w:rFonts w:ascii="Tahoma" w:hAnsi="Tahoma" w:cs="Tahoma"/>
      <w:color w:val="FFFFFF"/>
      <w:sz w:val="27"/>
      <w:szCs w:val="27"/>
      <w:lang w:val="en-US"/>
    </w:rPr>
  </w:style>
  <w:style w:type="paragraph" w:customStyle="1" w:styleId="tahomatestobianco">
    <w:name w:val="tahoma_testo_bianco"/>
    <w:basedOn w:val="Normal"/>
    <w:rsid w:val="00C14330"/>
    <w:pPr>
      <w:jc w:val="left"/>
    </w:pPr>
    <w:rPr>
      <w:rFonts w:ascii="Tahoma" w:hAnsi="Tahoma" w:cs="Tahoma"/>
      <w:color w:val="FFFFFF"/>
      <w:sz w:val="21"/>
      <w:szCs w:val="21"/>
      <w:lang w:val="en-US"/>
    </w:rPr>
  </w:style>
  <w:style w:type="paragraph" w:styleId="Titre">
    <w:name w:val="Title"/>
    <w:basedOn w:val="Normal"/>
    <w:next w:val="Normal"/>
    <w:link w:val="TitreCar"/>
    <w:qFormat/>
    <w:rsid w:val="00380F1F"/>
    <w:pPr>
      <w:keepNext/>
      <w:keepLines/>
      <w:widowControl w:val="0"/>
      <w:adjustRightInd w:val="0"/>
      <w:spacing w:before="140" w:line="360" w:lineRule="atLeast"/>
      <w:jc w:val="center"/>
      <w:textAlignment w:val="baseline"/>
    </w:pPr>
    <w:rPr>
      <w:rFonts w:ascii="Garamond" w:hAnsi="Garamond"/>
      <w:caps/>
      <w:spacing w:val="60"/>
      <w:kern w:val="20"/>
      <w:sz w:val="44"/>
      <w:szCs w:val="20"/>
      <w:lang w:val="en-US" w:eastAsia="en-GB"/>
    </w:rPr>
  </w:style>
  <w:style w:type="character" w:customStyle="1" w:styleId="TitreCar">
    <w:name w:val="Titre Car"/>
    <w:basedOn w:val="Policepardfaut"/>
    <w:link w:val="Titre"/>
    <w:rsid w:val="00380F1F"/>
    <w:rPr>
      <w:rFonts w:ascii="Garamond" w:hAnsi="Garamond"/>
      <w:caps/>
      <w:spacing w:val="60"/>
      <w:kern w:val="20"/>
      <w:sz w:val="44"/>
      <w:lang w:eastAsia="en-GB"/>
    </w:rPr>
  </w:style>
  <w:style w:type="character" w:styleId="Marquedecommentaire">
    <w:name w:val="annotation reference"/>
    <w:basedOn w:val="Policepardfaut"/>
    <w:uiPriority w:val="99"/>
    <w:semiHidden/>
    <w:unhideWhenUsed/>
    <w:rsid w:val="00B3451C"/>
    <w:rPr>
      <w:sz w:val="16"/>
      <w:szCs w:val="16"/>
    </w:rPr>
  </w:style>
  <w:style w:type="paragraph" w:styleId="Commentaire">
    <w:name w:val="annotation text"/>
    <w:basedOn w:val="Normal"/>
    <w:link w:val="CommentaireCar"/>
    <w:uiPriority w:val="99"/>
    <w:semiHidden/>
    <w:unhideWhenUsed/>
    <w:rsid w:val="00B3451C"/>
    <w:rPr>
      <w:szCs w:val="20"/>
    </w:rPr>
  </w:style>
  <w:style w:type="character" w:customStyle="1" w:styleId="CommentaireCar">
    <w:name w:val="Commentaire Car"/>
    <w:basedOn w:val="Policepardfaut"/>
    <w:link w:val="Commentaire"/>
    <w:uiPriority w:val="99"/>
    <w:semiHidden/>
    <w:rsid w:val="00B3451C"/>
    <w:rPr>
      <w:rFonts w:ascii="Times" w:hAnsi="Times"/>
      <w:lang w:val="en-GB"/>
    </w:rPr>
  </w:style>
  <w:style w:type="paragraph" w:styleId="Objetducommentaire">
    <w:name w:val="annotation subject"/>
    <w:basedOn w:val="Commentaire"/>
    <w:next w:val="Commentaire"/>
    <w:link w:val="ObjetducommentaireCar"/>
    <w:uiPriority w:val="99"/>
    <w:semiHidden/>
    <w:unhideWhenUsed/>
    <w:rsid w:val="00B3451C"/>
    <w:rPr>
      <w:b/>
      <w:bCs/>
    </w:rPr>
  </w:style>
  <w:style w:type="character" w:customStyle="1" w:styleId="ObjetducommentaireCar">
    <w:name w:val="Objet du commentaire Car"/>
    <w:basedOn w:val="CommentaireCar"/>
    <w:link w:val="Objetducommentaire"/>
    <w:uiPriority w:val="99"/>
    <w:semiHidden/>
    <w:rsid w:val="00B3451C"/>
    <w:rPr>
      <w:rFonts w:ascii="Times" w:hAnsi="Times"/>
      <w:b/>
      <w:bCs/>
      <w:lang w:val="en-GB"/>
    </w:rPr>
  </w:style>
  <w:style w:type="paragraph" w:customStyle="1" w:styleId="Default">
    <w:name w:val="Default"/>
    <w:rsid w:val="0080410F"/>
    <w:pPr>
      <w:autoSpaceDE w:val="0"/>
      <w:autoSpaceDN w:val="0"/>
      <w:adjustRightInd w:val="0"/>
    </w:pPr>
    <w:rPr>
      <w:rFonts w:ascii="Calibri" w:eastAsiaTheme="minorHAnsi" w:hAnsi="Calibri" w:cs="Calibri"/>
      <w:color w:val="000000"/>
      <w:sz w:val="24"/>
      <w:szCs w:val="24"/>
      <w:lang w:val="de-DE"/>
    </w:rPr>
  </w:style>
  <w:style w:type="character" w:styleId="CitationHTML">
    <w:name w:val="HTML Cite"/>
    <w:basedOn w:val="Policepardfaut"/>
    <w:uiPriority w:val="99"/>
    <w:semiHidden/>
    <w:unhideWhenUsed/>
    <w:rsid w:val="00045505"/>
    <w:rPr>
      <w:i w:val="0"/>
      <w:iCs w:val="0"/>
      <w:shd w:val="clear" w:color="auto" w:fill="FFFF00"/>
    </w:rPr>
  </w:style>
  <w:style w:type="paragraph" w:customStyle="1" w:styleId="Reference">
    <w:name w:val="Reference"/>
    <w:basedOn w:val="Normal"/>
    <w:link w:val="ReferenceChar"/>
    <w:qFormat/>
    <w:rsid w:val="007D009C"/>
    <w:pPr>
      <w:tabs>
        <w:tab w:val="left" w:pos="360"/>
      </w:tabs>
      <w:ind w:left="360" w:hanging="360"/>
    </w:pPr>
  </w:style>
  <w:style w:type="character" w:customStyle="1" w:styleId="ReferenceChar">
    <w:name w:val="Reference Char"/>
    <w:link w:val="Reference"/>
    <w:rsid w:val="007D009C"/>
    <w:rPr>
      <w:rFonts w:ascii="Times" w:hAnsi="Times"/>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w:hAnsi="Times"/>
      <w:szCs w:val="24"/>
      <w:lang w:val="en-GB"/>
    </w:rPr>
  </w:style>
  <w:style w:type="paragraph" w:styleId="Titre1">
    <w:name w:val="heading 1"/>
    <w:aliases w:val="Paper Title"/>
    <w:next w:val="AuthorList"/>
    <w:qFormat/>
    <w:rsid w:val="006C58CD"/>
    <w:pPr>
      <w:keepNext/>
      <w:spacing w:after="60"/>
      <w:jc w:val="center"/>
      <w:outlineLvl w:val="0"/>
    </w:pPr>
    <w:rPr>
      <w:rFonts w:cs="Arial"/>
      <w:b/>
      <w:bCs/>
      <w:caps/>
      <w:kern w:val="32"/>
      <w:sz w:val="28"/>
      <w:szCs w:val="32"/>
      <w:lang w:val="en-GB"/>
    </w:rPr>
  </w:style>
  <w:style w:type="paragraph" w:styleId="Titre2">
    <w:name w:val="heading 2"/>
    <w:aliases w:val="Section Heading"/>
    <w:next w:val="Retraitcorpsdetexte"/>
    <w:qFormat/>
    <w:rsid w:val="006C58CD"/>
    <w:pPr>
      <w:keepNext/>
      <w:spacing w:before="240" w:after="60"/>
      <w:jc w:val="center"/>
      <w:outlineLvl w:val="1"/>
    </w:pPr>
    <w:rPr>
      <w:rFonts w:cs="Arial"/>
      <w:b/>
      <w:bCs/>
      <w:iCs/>
      <w:caps/>
      <w:kern w:val="16"/>
      <w:sz w:val="24"/>
      <w:szCs w:val="28"/>
      <w:lang w:val="en-GB"/>
    </w:rPr>
  </w:style>
  <w:style w:type="paragraph" w:styleId="Titre3">
    <w:name w:val="heading 3"/>
    <w:aliases w:val="Subsection Heading"/>
    <w:next w:val="Retraitcorpsdetexte"/>
    <w:link w:val="Titre3Car"/>
    <w:qFormat/>
    <w:rsid w:val="006C58CD"/>
    <w:pPr>
      <w:keepNext/>
      <w:spacing w:before="120" w:after="60"/>
      <w:outlineLvl w:val="2"/>
    </w:pPr>
    <w:rPr>
      <w:rFonts w:cs="Arial"/>
      <w:bCs/>
      <w:i/>
      <w:sz w:val="24"/>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rsid w:val="006C58CD"/>
    <w:rPr>
      <w:sz w:val="16"/>
      <w:lang w:val="en-GB"/>
    </w:rPr>
  </w:style>
  <w:style w:type="paragraph" w:customStyle="1" w:styleId="AbstractTitle">
    <w:name w:val="Abstract Title"/>
    <w:next w:val="Retraitcorpsdetexte"/>
    <w:rsid w:val="002C6318"/>
    <w:rPr>
      <w:i/>
      <w:sz w:val="24"/>
      <w:szCs w:val="24"/>
      <w:lang w:val="en-GB"/>
    </w:rPr>
  </w:style>
  <w:style w:type="paragraph" w:customStyle="1" w:styleId="AuthorList">
    <w:name w:val="Author List"/>
    <w:next w:val="AbstractTitle"/>
    <w:autoRedefine/>
    <w:rsid w:val="00DE79DC"/>
    <w:pPr>
      <w:spacing w:before="180" w:after="240"/>
      <w:jc w:val="center"/>
    </w:pPr>
    <w:rPr>
      <w:sz w:val="24"/>
      <w:szCs w:val="24"/>
      <w:lang w:val="en-GB"/>
    </w:rPr>
  </w:style>
  <w:style w:type="paragraph" w:customStyle="1" w:styleId="FigureCaption">
    <w:name w:val="Figure Caption"/>
    <w:next w:val="Retraitcorpsdetexte"/>
    <w:rsid w:val="002C6318"/>
    <w:pPr>
      <w:spacing w:before="60" w:after="120"/>
      <w:jc w:val="center"/>
    </w:pPr>
    <w:rPr>
      <w:szCs w:val="24"/>
      <w:lang w:val="en-GB"/>
    </w:rPr>
  </w:style>
  <w:style w:type="paragraph" w:customStyle="1" w:styleId="TableCaption">
    <w:name w:val="Table Caption"/>
    <w:next w:val="Retraitcorpsdetexte"/>
    <w:rsid w:val="006C58CD"/>
    <w:pPr>
      <w:spacing w:before="60" w:after="60"/>
      <w:jc w:val="center"/>
    </w:pPr>
    <w:rPr>
      <w:szCs w:val="24"/>
      <w:lang w:val="en-GB"/>
    </w:rPr>
  </w:style>
  <w:style w:type="character" w:styleId="Appelnotedebasdep">
    <w:name w:val="footnote reference"/>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TextChar">
    <w:name w:val="Reference Text Char"/>
    <w:basedOn w:val="Normal"/>
    <w:link w:val="ReferenceTextCharChar"/>
    <w:autoRedefine/>
    <w:rsid w:val="00E15805"/>
    <w:pPr>
      <w:tabs>
        <w:tab w:val="left" w:pos="360"/>
      </w:tabs>
      <w:ind w:left="360" w:hanging="360"/>
    </w:pPr>
    <w:rPr>
      <w:rFonts w:ascii="Times New Roman" w:hAnsi="Times New Roman"/>
    </w:rPr>
  </w:style>
  <w:style w:type="paragraph" w:styleId="Retraitcorpsdetexte">
    <w:name w:val="Body Text Indent"/>
    <w:link w:val="RetraitcorpsdetexteCar"/>
    <w:rsid w:val="002C6318"/>
    <w:pPr>
      <w:ind w:firstLine="187"/>
      <w:jc w:val="both"/>
    </w:pPr>
    <w:rPr>
      <w:lang w:val="en-GB"/>
    </w:rPr>
  </w:style>
  <w:style w:type="character" w:styleId="Lienhypertexte">
    <w:name w:val="Hyperlink"/>
    <w:rPr>
      <w:color w:val="0000FF"/>
      <w:u w:val="single"/>
    </w:rPr>
  </w:style>
  <w:style w:type="paragraph" w:customStyle="1" w:styleId="BulletedList">
    <w:name w:val="Bulleted List"/>
    <w:rsid w:val="003C52DD"/>
    <w:pPr>
      <w:numPr>
        <w:numId w:val="2"/>
      </w:numPr>
      <w:jc w:val="both"/>
    </w:pPr>
    <w:rPr>
      <w:szCs w:val="24"/>
      <w:lang w:val="en-GB"/>
    </w:rPr>
  </w:style>
  <w:style w:type="character" w:customStyle="1" w:styleId="ReferenceTextCharChar">
    <w:name w:val="Reference Text Char Char"/>
    <w:link w:val="ReferenceTextChar"/>
    <w:rsid w:val="00E15805"/>
    <w:rPr>
      <w:szCs w:val="24"/>
      <w:lang w:val="en-GB"/>
    </w:rPr>
  </w:style>
  <w:style w:type="paragraph" w:styleId="Lgende">
    <w:name w:val="caption"/>
    <w:basedOn w:val="Normal"/>
    <w:next w:val="Normal"/>
    <w:qFormat/>
    <w:pPr>
      <w:spacing w:before="120" w:after="120"/>
    </w:pPr>
    <w:rPr>
      <w:b/>
      <w:bCs/>
      <w:szCs w:val="20"/>
    </w:rPr>
  </w:style>
  <w:style w:type="paragraph" w:customStyle="1" w:styleId="BodyTextNoIndent">
    <w:name w:val="Body Text No Indent"/>
    <w:basedOn w:val="Retraitcorpsdetexte"/>
    <w:rsid w:val="002C6318"/>
    <w:pPr>
      <w:ind w:firstLine="0"/>
    </w:pPr>
  </w:style>
  <w:style w:type="paragraph" w:customStyle="1" w:styleId="FigureCaptionMultiLine">
    <w:name w:val="Figure Caption Multi Line"/>
    <w:basedOn w:val="FigureCaption"/>
    <w:next w:val="Retraitcorpsdetexte"/>
    <w:rsid w:val="006C58CD"/>
    <w:pPr>
      <w:jc w:val="both"/>
    </w:pPr>
    <w:rPr>
      <w:szCs w:val="20"/>
    </w:rPr>
  </w:style>
  <w:style w:type="paragraph" w:customStyle="1" w:styleId="TableCaptionMultiLine">
    <w:name w:val="Table Caption Multi Line"/>
    <w:basedOn w:val="TableCaption"/>
    <w:next w:val="Retraitcorpsdetexte"/>
    <w:rsid w:val="00E15805"/>
    <w:pPr>
      <w:jc w:val="both"/>
    </w:pPr>
    <w:rPr>
      <w:szCs w:val="20"/>
    </w:rPr>
  </w:style>
  <w:style w:type="paragraph" w:styleId="Textedebulles">
    <w:name w:val="Balloon Text"/>
    <w:basedOn w:val="Normal"/>
    <w:link w:val="TextedebullesCar"/>
    <w:uiPriority w:val="99"/>
    <w:semiHidden/>
    <w:unhideWhenUsed/>
    <w:rsid w:val="007F5A39"/>
    <w:rPr>
      <w:rFonts w:ascii="Tahoma" w:hAnsi="Tahoma" w:cs="Tahoma"/>
      <w:sz w:val="16"/>
      <w:szCs w:val="16"/>
    </w:rPr>
  </w:style>
  <w:style w:type="character" w:customStyle="1" w:styleId="TextedebullesCar">
    <w:name w:val="Texte de bulles Car"/>
    <w:basedOn w:val="Policepardfaut"/>
    <w:link w:val="Textedebulles"/>
    <w:uiPriority w:val="99"/>
    <w:semiHidden/>
    <w:rsid w:val="007F5A39"/>
    <w:rPr>
      <w:rFonts w:ascii="Tahoma" w:hAnsi="Tahoma" w:cs="Tahoma"/>
      <w:sz w:val="16"/>
      <w:szCs w:val="16"/>
      <w:lang w:val="en-GB"/>
    </w:rPr>
  </w:style>
  <w:style w:type="paragraph" w:styleId="Textebrut">
    <w:name w:val="Plain Text"/>
    <w:basedOn w:val="Normal"/>
    <w:link w:val="TextebrutCar"/>
    <w:uiPriority w:val="99"/>
    <w:unhideWhenUsed/>
    <w:rsid w:val="007F5A39"/>
    <w:pPr>
      <w:jc w:val="left"/>
    </w:pPr>
    <w:rPr>
      <w:rFonts w:ascii="Calibri" w:eastAsiaTheme="minorHAnsi" w:hAnsi="Calibri" w:cstheme="minorBidi"/>
      <w:sz w:val="22"/>
      <w:szCs w:val="21"/>
      <w:lang w:val="en-US"/>
    </w:rPr>
  </w:style>
  <w:style w:type="character" w:customStyle="1" w:styleId="TextebrutCar">
    <w:name w:val="Texte brut Car"/>
    <w:basedOn w:val="Policepardfaut"/>
    <w:link w:val="Textebrut"/>
    <w:uiPriority w:val="99"/>
    <w:rsid w:val="007F5A39"/>
    <w:rPr>
      <w:rFonts w:ascii="Calibri" w:eastAsiaTheme="minorHAnsi" w:hAnsi="Calibri" w:cstheme="minorBidi"/>
      <w:sz w:val="22"/>
      <w:szCs w:val="21"/>
    </w:rPr>
  </w:style>
  <w:style w:type="paragraph" w:styleId="Sansinterligne">
    <w:name w:val="No Spacing"/>
    <w:uiPriority w:val="1"/>
    <w:qFormat/>
    <w:rsid w:val="004A0C1B"/>
    <w:rPr>
      <w:rFonts w:asciiTheme="minorHAnsi" w:eastAsiaTheme="minorHAnsi" w:hAnsiTheme="minorHAnsi" w:cstheme="minorBidi"/>
      <w:sz w:val="22"/>
      <w:szCs w:val="22"/>
    </w:rPr>
  </w:style>
  <w:style w:type="paragraph" w:styleId="Sous-titre">
    <w:name w:val="Subtitle"/>
    <w:basedOn w:val="Normal"/>
    <w:next w:val="Normal"/>
    <w:link w:val="Sous-titreCar"/>
    <w:uiPriority w:val="11"/>
    <w:qFormat/>
    <w:rsid w:val="00550297"/>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550297"/>
    <w:rPr>
      <w:rFonts w:asciiTheme="majorHAnsi" w:eastAsiaTheme="majorEastAsia" w:hAnsiTheme="majorHAnsi" w:cstheme="majorBidi"/>
      <w:i/>
      <w:iCs/>
      <w:color w:val="4F81BD" w:themeColor="accent1"/>
      <w:spacing w:val="15"/>
      <w:sz w:val="24"/>
      <w:szCs w:val="24"/>
      <w:lang w:val="en-GB"/>
    </w:rPr>
  </w:style>
  <w:style w:type="table" w:styleId="Grilledutableau">
    <w:name w:val="Table Grid"/>
    <w:basedOn w:val="TableauNormal"/>
    <w:uiPriority w:val="59"/>
    <w:rsid w:val="00ED4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A840B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5A1FF8"/>
    <w:pPr>
      <w:spacing w:before="100" w:beforeAutospacing="1" w:after="100" w:afterAutospacing="1"/>
      <w:jc w:val="left"/>
    </w:pPr>
    <w:rPr>
      <w:rFonts w:ascii="Times New Roman" w:hAnsi="Times New Roman"/>
      <w:sz w:val="24"/>
      <w:lang w:val="en-US"/>
    </w:rPr>
  </w:style>
  <w:style w:type="character" w:customStyle="1" w:styleId="RetraitcorpsdetexteCar">
    <w:name w:val="Retrait corps de texte Car"/>
    <w:basedOn w:val="Policepardfaut"/>
    <w:link w:val="Retraitcorpsdetexte"/>
    <w:rsid w:val="005A1FF8"/>
    <w:rPr>
      <w:lang w:val="en-GB"/>
    </w:rPr>
  </w:style>
  <w:style w:type="character" w:customStyle="1" w:styleId="Titre3Car">
    <w:name w:val="Titre 3 Car"/>
    <w:aliases w:val="Subsection Heading Car"/>
    <w:basedOn w:val="Policepardfaut"/>
    <w:link w:val="Titre3"/>
    <w:rsid w:val="00E15805"/>
    <w:rPr>
      <w:rFonts w:cs="Arial"/>
      <w:bCs/>
      <w:i/>
      <w:sz w:val="24"/>
      <w:szCs w:val="26"/>
      <w:lang w:val="en-GB"/>
    </w:rPr>
  </w:style>
  <w:style w:type="character" w:styleId="Accentuation">
    <w:name w:val="Emphasis"/>
    <w:basedOn w:val="Policepardfaut"/>
    <w:uiPriority w:val="20"/>
    <w:qFormat/>
    <w:rsid w:val="00CC1A25"/>
    <w:rPr>
      <w:b/>
      <w:bCs/>
      <w:i w:val="0"/>
      <w:iCs w:val="0"/>
    </w:rPr>
  </w:style>
  <w:style w:type="character" w:customStyle="1" w:styleId="st1">
    <w:name w:val="st1"/>
    <w:basedOn w:val="Policepardfaut"/>
    <w:rsid w:val="00CC1A25"/>
  </w:style>
  <w:style w:type="paragraph" w:customStyle="1" w:styleId="arialboldbianco">
    <w:name w:val="arial_bold_bianco"/>
    <w:basedOn w:val="Normal"/>
    <w:rsid w:val="00C14330"/>
    <w:pPr>
      <w:jc w:val="left"/>
    </w:pPr>
    <w:rPr>
      <w:rFonts w:ascii="Tahoma" w:hAnsi="Tahoma" w:cs="Tahoma"/>
      <w:color w:val="FFFFFF"/>
      <w:sz w:val="27"/>
      <w:szCs w:val="27"/>
      <w:lang w:val="en-US"/>
    </w:rPr>
  </w:style>
  <w:style w:type="paragraph" w:customStyle="1" w:styleId="tahomatestobianco">
    <w:name w:val="tahoma_testo_bianco"/>
    <w:basedOn w:val="Normal"/>
    <w:rsid w:val="00C14330"/>
    <w:pPr>
      <w:jc w:val="left"/>
    </w:pPr>
    <w:rPr>
      <w:rFonts w:ascii="Tahoma" w:hAnsi="Tahoma" w:cs="Tahoma"/>
      <w:color w:val="FFFFFF"/>
      <w:sz w:val="21"/>
      <w:szCs w:val="21"/>
      <w:lang w:val="en-US"/>
    </w:rPr>
  </w:style>
  <w:style w:type="paragraph" w:styleId="Titre">
    <w:name w:val="Title"/>
    <w:basedOn w:val="Normal"/>
    <w:next w:val="Normal"/>
    <w:link w:val="TitreCar"/>
    <w:qFormat/>
    <w:rsid w:val="00380F1F"/>
    <w:pPr>
      <w:keepNext/>
      <w:keepLines/>
      <w:widowControl w:val="0"/>
      <w:adjustRightInd w:val="0"/>
      <w:spacing w:before="140" w:line="360" w:lineRule="atLeast"/>
      <w:jc w:val="center"/>
      <w:textAlignment w:val="baseline"/>
    </w:pPr>
    <w:rPr>
      <w:rFonts w:ascii="Garamond" w:hAnsi="Garamond"/>
      <w:caps/>
      <w:spacing w:val="60"/>
      <w:kern w:val="20"/>
      <w:sz w:val="44"/>
      <w:szCs w:val="20"/>
      <w:lang w:val="en-US" w:eastAsia="en-GB"/>
    </w:rPr>
  </w:style>
  <w:style w:type="character" w:customStyle="1" w:styleId="TitreCar">
    <w:name w:val="Titre Car"/>
    <w:basedOn w:val="Policepardfaut"/>
    <w:link w:val="Titre"/>
    <w:rsid w:val="00380F1F"/>
    <w:rPr>
      <w:rFonts w:ascii="Garamond" w:hAnsi="Garamond"/>
      <w:caps/>
      <w:spacing w:val="60"/>
      <w:kern w:val="20"/>
      <w:sz w:val="44"/>
      <w:lang w:eastAsia="en-GB"/>
    </w:rPr>
  </w:style>
  <w:style w:type="character" w:styleId="Marquedecommentaire">
    <w:name w:val="annotation reference"/>
    <w:basedOn w:val="Policepardfaut"/>
    <w:uiPriority w:val="99"/>
    <w:semiHidden/>
    <w:unhideWhenUsed/>
    <w:rsid w:val="00B3451C"/>
    <w:rPr>
      <w:sz w:val="16"/>
      <w:szCs w:val="16"/>
    </w:rPr>
  </w:style>
  <w:style w:type="paragraph" w:styleId="Commentaire">
    <w:name w:val="annotation text"/>
    <w:basedOn w:val="Normal"/>
    <w:link w:val="CommentaireCar"/>
    <w:uiPriority w:val="99"/>
    <w:semiHidden/>
    <w:unhideWhenUsed/>
    <w:rsid w:val="00B3451C"/>
    <w:rPr>
      <w:szCs w:val="20"/>
    </w:rPr>
  </w:style>
  <w:style w:type="character" w:customStyle="1" w:styleId="CommentaireCar">
    <w:name w:val="Commentaire Car"/>
    <w:basedOn w:val="Policepardfaut"/>
    <w:link w:val="Commentaire"/>
    <w:uiPriority w:val="99"/>
    <w:semiHidden/>
    <w:rsid w:val="00B3451C"/>
    <w:rPr>
      <w:rFonts w:ascii="Times" w:hAnsi="Times"/>
      <w:lang w:val="en-GB"/>
    </w:rPr>
  </w:style>
  <w:style w:type="paragraph" w:styleId="Objetducommentaire">
    <w:name w:val="annotation subject"/>
    <w:basedOn w:val="Commentaire"/>
    <w:next w:val="Commentaire"/>
    <w:link w:val="ObjetducommentaireCar"/>
    <w:uiPriority w:val="99"/>
    <w:semiHidden/>
    <w:unhideWhenUsed/>
    <w:rsid w:val="00B3451C"/>
    <w:rPr>
      <w:b/>
      <w:bCs/>
    </w:rPr>
  </w:style>
  <w:style w:type="character" w:customStyle="1" w:styleId="ObjetducommentaireCar">
    <w:name w:val="Objet du commentaire Car"/>
    <w:basedOn w:val="CommentaireCar"/>
    <w:link w:val="Objetducommentaire"/>
    <w:uiPriority w:val="99"/>
    <w:semiHidden/>
    <w:rsid w:val="00B3451C"/>
    <w:rPr>
      <w:rFonts w:ascii="Times" w:hAnsi="Times"/>
      <w:b/>
      <w:bCs/>
      <w:lang w:val="en-GB"/>
    </w:rPr>
  </w:style>
  <w:style w:type="paragraph" w:customStyle="1" w:styleId="Default">
    <w:name w:val="Default"/>
    <w:rsid w:val="0080410F"/>
    <w:pPr>
      <w:autoSpaceDE w:val="0"/>
      <w:autoSpaceDN w:val="0"/>
      <w:adjustRightInd w:val="0"/>
    </w:pPr>
    <w:rPr>
      <w:rFonts w:ascii="Calibri" w:eastAsiaTheme="minorHAnsi" w:hAnsi="Calibri" w:cs="Calibri"/>
      <w:color w:val="000000"/>
      <w:sz w:val="24"/>
      <w:szCs w:val="24"/>
      <w:lang w:val="de-DE"/>
    </w:rPr>
  </w:style>
  <w:style w:type="character" w:styleId="CitationHTML">
    <w:name w:val="HTML Cite"/>
    <w:basedOn w:val="Policepardfaut"/>
    <w:uiPriority w:val="99"/>
    <w:semiHidden/>
    <w:unhideWhenUsed/>
    <w:rsid w:val="00045505"/>
    <w:rPr>
      <w:i w:val="0"/>
      <w:iCs w:val="0"/>
      <w:shd w:val="clear" w:color="auto" w:fill="FFFF00"/>
    </w:rPr>
  </w:style>
  <w:style w:type="paragraph" w:customStyle="1" w:styleId="Reference">
    <w:name w:val="Reference"/>
    <w:basedOn w:val="Normal"/>
    <w:link w:val="ReferenceChar"/>
    <w:qFormat/>
    <w:rsid w:val="007D009C"/>
    <w:pPr>
      <w:tabs>
        <w:tab w:val="left" w:pos="360"/>
      </w:tabs>
      <w:ind w:left="360" w:hanging="360"/>
    </w:pPr>
  </w:style>
  <w:style w:type="character" w:customStyle="1" w:styleId="ReferenceChar">
    <w:name w:val="Reference Char"/>
    <w:link w:val="Reference"/>
    <w:rsid w:val="007D009C"/>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204">
      <w:bodyDiv w:val="1"/>
      <w:marLeft w:val="0"/>
      <w:marRight w:val="0"/>
      <w:marTop w:val="0"/>
      <w:marBottom w:val="0"/>
      <w:divBdr>
        <w:top w:val="none" w:sz="0" w:space="0" w:color="auto"/>
        <w:left w:val="none" w:sz="0" w:space="0" w:color="auto"/>
        <w:bottom w:val="none" w:sz="0" w:space="0" w:color="auto"/>
        <w:right w:val="none" w:sz="0" w:space="0" w:color="auto"/>
      </w:divBdr>
    </w:div>
    <w:div w:id="72970848">
      <w:bodyDiv w:val="1"/>
      <w:marLeft w:val="0"/>
      <w:marRight w:val="0"/>
      <w:marTop w:val="0"/>
      <w:marBottom w:val="0"/>
      <w:divBdr>
        <w:top w:val="none" w:sz="0" w:space="0" w:color="auto"/>
        <w:left w:val="none" w:sz="0" w:space="0" w:color="auto"/>
        <w:bottom w:val="none" w:sz="0" w:space="0" w:color="auto"/>
        <w:right w:val="none" w:sz="0" w:space="0" w:color="auto"/>
      </w:divBdr>
    </w:div>
    <w:div w:id="102262420">
      <w:bodyDiv w:val="1"/>
      <w:marLeft w:val="0"/>
      <w:marRight w:val="0"/>
      <w:marTop w:val="0"/>
      <w:marBottom w:val="0"/>
      <w:divBdr>
        <w:top w:val="none" w:sz="0" w:space="0" w:color="auto"/>
        <w:left w:val="none" w:sz="0" w:space="0" w:color="auto"/>
        <w:bottom w:val="none" w:sz="0" w:space="0" w:color="auto"/>
        <w:right w:val="none" w:sz="0" w:space="0" w:color="auto"/>
      </w:divBdr>
    </w:div>
    <w:div w:id="188494188">
      <w:bodyDiv w:val="1"/>
      <w:marLeft w:val="0"/>
      <w:marRight w:val="0"/>
      <w:marTop w:val="0"/>
      <w:marBottom w:val="0"/>
      <w:divBdr>
        <w:top w:val="none" w:sz="0" w:space="0" w:color="auto"/>
        <w:left w:val="none" w:sz="0" w:space="0" w:color="auto"/>
        <w:bottom w:val="none" w:sz="0" w:space="0" w:color="auto"/>
        <w:right w:val="none" w:sz="0" w:space="0" w:color="auto"/>
      </w:divBdr>
    </w:div>
    <w:div w:id="216823089">
      <w:bodyDiv w:val="1"/>
      <w:marLeft w:val="0"/>
      <w:marRight w:val="0"/>
      <w:marTop w:val="0"/>
      <w:marBottom w:val="0"/>
      <w:divBdr>
        <w:top w:val="none" w:sz="0" w:space="0" w:color="auto"/>
        <w:left w:val="none" w:sz="0" w:space="0" w:color="auto"/>
        <w:bottom w:val="none" w:sz="0" w:space="0" w:color="auto"/>
        <w:right w:val="none" w:sz="0" w:space="0" w:color="auto"/>
      </w:divBdr>
    </w:div>
    <w:div w:id="268584888">
      <w:bodyDiv w:val="1"/>
      <w:marLeft w:val="0"/>
      <w:marRight w:val="0"/>
      <w:marTop w:val="0"/>
      <w:marBottom w:val="0"/>
      <w:divBdr>
        <w:top w:val="none" w:sz="0" w:space="0" w:color="auto"/>
        <w:left w:val="none" w:sz="0" w:space="0" w:color="auto"/>
        <w:bottom w:val="none" w:sz="0" w:space="0" w:color="auto"/>
        <w:right w:val="none" w:sz="0" w:space="0" w:color="auto"/>
      </w:divBdr>
      <w:divsChild>
        <w:div w:id="804543214">
          <w:marLeft w:val="0"/>
          <w:marRight w:val="0"/>
          <w:marTop w:val="0"/>
          <w:marBottom w:val="0"/>
          <w:divBdr>
            <w:top w:val="none" w:sz="0" w:space="0" w:color="auto"/>
            <w:left w:val="none" w:sz="0" w:space="0" w:color="auto"/>
            <w:bottom w:val="none" w:sz="0" w:space="0" w:color="auto"/>
            <w:right w:val="none" w:sz="0" w:space="0" w:color="auto"/>
          </w:divBdr>
          <w:divsChild>
            <w:div w:id="16289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7883">
      <w:bodyDiv w:val="1"/>
      <w:marLeft w:val="0"/>
      <w:marRight w:val="0"/>
      <w:marTop w:val="0"/>
      <w:marBottom w:val="0"/>
      <w:divBdr>
        <w:top w:val="none" w:sz="0" w:space="0" w:color="auto"/>
        <w:left w:val="none" w:sz="0" w:space="0" w:color="auto"/>
        <w:bottom w:val="none" w:sz="0" w:space="0" w:color="auto"/>
        <w:right w:val="none" w:sz="0" w:space="0" w:color="auto"/>
      </w:divBdr>
    </w:div>
    <w:div w:id="495994187">
      <w:bodyDiv w:val="1"/>
      <w:marLeft w:val="0"/>
      <w:marRight w:val="0"/>
      <w:marTop w:val="0"/>
      <w:marBottom w:val="0"/>
      <w:divBdr>
        <w:top w:val="none" w:sz="0" w:space="0" w:color="auto"/>
        <w:left w:val="none" w:sz="0" w:space="0" w:color="auto"/>
        <w:bottom w:val="none" w:sz="0" w:space="0" w:color="auto"/>
        <w:right w:val="none" w:sz="0" w:space="0" w:color="auto"/>
      </w:divBdr>
    </w:div>
    <w:div w:id="674382232">
      <w:bodyDiv w:val="1"/>
      <w:marLeft w:val="0"/>
      <w:marRight w:val="0"/>
      <w:marTop w:val="0"/>
      <w:marBottom w:val="0"/>
      <w:divBdr>
        <w:top w:val="none" w:sz="0" w:space="0" w:color="auto"/>
        <w:left w:val="none" w:sz="0" w:space="0" w:color="auto"/>
        <w:bottom w:val="none" w:sz="0" w:space="0" w:color="auto"/>
        <w:right w:val="none" w:sz="0" w:space="0" w:color="auto"/>
      </w:divBdr>
    </w:div>
    <w:div w:id="760685486">
      <w:bodyDiv w:val="1"/>
      <w:marLeft w:val="0"/>
      <w:marRight w:val="0"/>
      <w:marTop w:val="0"/>
      <w:marBottom w:val="0"/>
      <w:divBdr>
        <w:top w:val="none" w:sz="0" w:space="0" w:color="auto"/>
        <w:left w:val="none" w:sz="0" w:space="0" w:color="auto"/>
        <w:bottom w:val="none" w:sz="0" w:space="0" w:color="auto"/>
        <w:right w:val="none" w:sz="0" w:space="0" w:color="auto"/>
      </w:divBdr>
    </w:div>
    <w:div w:id="964772534">
      <w:bodyDiv w:val="1"/>
      <w:marLeft w:val="0"/>
      <w:marRight w:val="0"/>
      <w:marTop w:val="0"/>
      <w:marBottom w:val="0"/>
      <w:divBdr>
        <w:top w:val="none" w:sz="0" w:space="0" w:color="auto"/>
        <w:left w:val="none" w:sz="0" w:space="0" w:color="auto"/>
        <w:bottom w:val="none" w:sz="0" w:space="0" w:color="auto"/>
        <w:right w:val="none" w:sz="0" w:space="0" w:color="auto"/>
      </w:divBdr>
    </w:div>
    <w:div w:id="1010596602">
      <w:bodyDiv w:val="1"/>
      <w:marLeft w:val="0"/>
      <w:marRight w:val="0"/>
      <w:marTop w:val="0"/>
      <w:marBottom w:val="0"/>
      <w:divBdr>
        <w:top w:val="none" w:sz="0" w:space="0" w:color="auto"/>
        <w:left w:val="none" w:sz="0" w:space="0" w:color="auto"/>
        <w:bottom w:val="none" w:sz="0" w:space="0" w:color="auto"/>
        <w:right w:val="none" w:sz="0" w:space="0" w:color="auto"/>
      </w:divBdr>
    </w:div>
    <w:div w:id="1023675441">
      <w:bodyDiv w:val="1"/>
      <w:marLeft w:val="0"/>
      <w:marRight w:val="0"/>
      <w:marTop w:val="0"/>
      <w:marBottom w:val="0"/>
      <w:divBdr>
        <w:top w:val="none" w:sz="0" w:space="0" w:color="auto"/>
        <w:left w:val="none" w:sz="0" w:space="0" w:color="auto"/>
        <w:bottom w:val="none" w:sz="0" w:space="0" w:color="auto"/>
        <w:right w:val="none" w:sz="0" w:space="0" w:color="auto"/>
      </w:divBdr>
    </w:div>
    <w:div w:id="1072313468">
      <w:bodyDiv w:val="1"/>
      <w:marLeft w:val="0"/>
      <w:marRight w:val="0"/>
      <w:marTop w:val="0"/>
      <w:marBottom w:val="0"/>
      <w:divBdr>
        <w:top w:val="none" w:sz="0" w:space="0" w:color="auto"/>
        <w:left w:val="none" w:sz="0" w:space="0" w:color="auto"/>
        <w:bottom w:val="none" w:sz="0" w:space="0" w:color="auto"/>
        <w:right w:val="none" w:sz="0" w:space="0" w:color="auto"/>
      </w:divBdr>
      <w:divsChild>
        <w:div w:id="81804040">
          <w:marLeft w:val="0"/>
          <w:marRight w:val="0"/>
          <w:marTop w:val="0"/>
          <w:marBottom w:val="0"/>
          <w:divBdr>
            <w:top w:val="none" w:sz="0" w:space="0" w:color="auto"/>
            <w:left w:val="none" w:sz="0" w:space="0" w:color="auto"/>
            <w:bottom w:val="none" w:sz="0" w:space="0" w:color="auto"/>
            <w:right w:val="none" w:sz="0" w:space="0" w:color="auto"/>
          </w:divBdr>
          <w:divsChild>
            <w:div w:id="17440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2979">
      <w:bodyDiv w:val="1"/>
      <w:marLeft w:val="0"/>
      <w:marRight w:val="0"/>
      <w:marTop w:val="0"/>
      <w:marBottom w:val="0"/>
      <w:divBdr>
        <w:top w:val="none" w:sz="0" w:space="0" w:color="auto"/>
        <w:left w:val="none" w:sz="0" w:space="0" w:color="auto"/>
        <w:bottom w:val="none" w:sz="0" w:space="0" w:color="auto"/>
        <w:right w:val="none" w:sz="0" w:space="0" w:color="auto"/>
      </w:divBdr>
    </w:div>
    <w:div w:id="1123306385">
      <w:bodyDiv w:val="1"/>
      <w:marLeft w:val="0"/>
      <w:marRight w:val="0"/>
      <w:marTop w:val="0"/>
      <w:marBottom w:val="0"/>
      <w:divBdr>
        <w:top w:val="none" w:sz="0" w:space="0" w:color="auto"/>
        <w:left w:val="none" w:sz="0" w:space="0" w:color="auto"/>
        <w:bottom w:val="none" w:sz="0" w:space="0" w:color="auto"/>
        <w:right w:val="none" w:sz="0" w:space="0" w:color="auto"/>
      </w:divBdr>
    </w:div>
    <w:div w:id="1151217708">
      <w:bodyDiv w:val="1"/>
      <w:marLeft w:val="0"/>
      <w:marRight w:val="0"/>
      <w:marTop w:val="0"/>
      <w:marBottom w:val="0"/>
      <w:divBdr>
        <w:top w:val="none" w:sz="0" w:space="0" w:color="auto"/>
        <w:left w:val="none" w:sz="0" w:space="0" w:color="auto"/>
        <w:bottom w:val="none" w:sz="0" w:space="0" w:color="auto"/>
        <w:right w:val="none" w:sz="0" w:space="0" w:color="auto"/>
      </w:divBdr>
    </w:div>
    <w:div w:id="1158575457">
      <w:bodyDiv w:val="1"/>
      <w:marLeft w:val="0"/>
      <w:marRight w:val="0"/>
      <w:marTop w:val="0"/>
      <w:marBottom w:val="0"/>
      <w:divBdr>
        <w:top w:val="none" w:sz="0" w:space="0" w:color="auto"/>
        <w:left w:val="none" w:sz="0" w:space="0" w:color="auto"/>
        <w:bottom w:val="none" w:sz="0" w:space="0" w:color="auto"/>
        <w:right w:val="none" w:sz="0" w:space="0" w:color="auto"/>
      </w:divBdr>
      <w:divsChild>
        <w:div w:id="2115711011">
          <w:marLeft w:val="0"/>
          <w:marRight w:val="0"/>
          <w:marTop w:val="0"/>
          <w:marBottom w:val="0"/>
          <w:divBdr>
            <w:top w:val="none" w:sz="0" w:space="0" w:color="auto"/>
            <w:left w:val="none" w:sz="0" w:space="0" w:color="auto"/>
            <w:bottom w:val="none" w:sz="0" w:space="0" w:color="auto"/>
            <w:right w:val="none" w:sz="0" w:space="0" w:color="auto"/>
          </w:divBdr>
          <w:divsChild>
            <w:div w:id="7485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7511">
      <w:bodyDiv w:val="1"/>
      <w:marLeft w:val="0"/>
      <w:marRight w:val="0"/>
      <w:marTop w:val="0"/>
      <w:marBottom w:val="0"/>
      <w:divBdr>
        <w:top w:val="none" w:sz="0" w:space="0" w:color="auto"/>
        <w:left w:val="none" w:sz="0" w:space="0" w:color="auto"/>
        <w:bottom w:val="none" w:sz="0" w:space="0" w:color="auto"/>
        <w:right w:val="none" w:sz="0" w:space="0" w:color="auto"/>
      </w:divBdr>
    </w:div>
    <w:div w:id="1203246881">
      <w:bodyDiv w:val="1"/>
      <w:marLeft w:val="0"/>
      <w:marRight w:val="0"/>
      <w:marTop w:val="0"/>
      <w:marBottom w:val="0"/>
      <w:divBdr>
        <w:top w:val="none" w:sz="0" w:space="0" w:color="auto"/>
        <w:left w:val="none" w:sz="0" w:space="0" w:color="auto"/>
        <w:bottom w:val="none" w:sz="0" w:space="0" w:color="auto"/>
        <w:right w:val="none" w:sz="0" w:space="0" w:color="auto"/>
      </w:divBdr>
    </w:div>
    <w:div w:id="1243567899">
      <w:bodyDiv w:val="1"/>
      <w:marLeft w:val="0"/>
      <w:marRight w:val="0"/>
      <w:marTop w:val="0"/>
      <w:marBottom w:val="0"/>
      <w:divBdr>
        <w:top w:val="none" w:sz="0" w:space="0" w:color="auto"/>
        <w:left w:val="none" w:sz="0" w:space="0" w:color="auto"/>
        <w:bottom w:val="none" w:sz="0" w:space="0" w:color="auto"/>
        <w:right w:val="none" w:sz="0" w:space="0" w:color="auto"/>
      </w:divBdr>
    </w:div>
    <w:div w:id="1395545441">
      <w:bodyDiv w:val="1"/>
      <w:marLeft w:val="0"/>
      <w:marRight w:val="0"/>
      <w:marTop w:val="0"/>
      <w:marBottom w:val="0"/>
      <w:divBdr>
        <w:top w:val="none" w:sz="0" w:space="0" w:color="auto"/>
        <w:left w:val="none" w:sz="0" w:space="0" w:color="auto"/>
        <w:bottom w:val="none" w:sz="0" w:space="0" w:color="auto"/>
        <w:right w:val="none" w:sz="0" w:space="0" w:color="auto"/>
      </w:divBdr>
    </w:div>
    <w:div w:id="1661152130">
      <w:bodyDiv w:val="1"/>
      <w:marLeft w:val="0"/>
      <w:marRight w:val="0"/>
      <w:marTop w:val="0"/>
      <w:marBottom w:val="0"/>
      <w:divBdr>
        <w:top w:val="none" w:sz="0" w:space="0" w:color="auto"/>
        <w:left w:val="none" w:sz="0" w:space="0" w:color="auto"/>
        <w:bottom w:val="none" w:sz="0" w:space="0" w:color="auto"/>
        <w:right w:val="none" w:sz="0" w:space="0" w:color="auto"/>
      </w:divBdr>
    </w:div>
    <w:div w:id="1704938622">
      <w:bodyDiv w:val="1"/>
      <w:marLeft w:val="0"/>
      <w:marRight w:val="0"/>
      <w:marTop w:val="0"/>
      <w:marBottom w:val="0"/>
      <w:divBdr>
        <w:top w:val="none" w:sz="0" w:space="0" w:color="auto"/>
        <w:left w:val="none" w:sz="0" w:space="0" w:color="auto"/>
        <w:bottom w:val="none" w:sz="0" w:space="0" w:color="auto"/>
        <w:right w:val="none" w:sz="0" w:space="0" w:color="auto"/>
      </w:divBdr>
    </w:div>
    <w:div w:id="1766421063">
      <w:bodyDiv w:val="1"/>
      <w:marLeft w:val="0"/>
      <w:marRight w:val="0"/>
      <w:marTop w:val="0"/>
      <w:marBottom w:val="0"/>
      <w:divBdr>
        <w:top w:val="none" w:sz="0" w:space="0" w:color="auto"/>
        <w:left w:val="none" w:sz="0" w:space="0" w:color="auto"/>
        <w:bottom w:val="none" w:sz="0" w:space="0" w:color="auto"/>
        <w:right w:val="none" w:sz="0" w:space="0" w:color="auto"/>
      </w:divBdr>
    </w:div>
    <w:div w:id="1785033246">
      <w:bodyDiv w:val="1"/>
      <w:marLeft w:val="0"/>
      <w:marRight w:val="0"/>
      <w:marTop w:val="0"/>
      <w:marBottom w:val="0"/>
      <w:divBdr>
        <w:top w:val="none" w:sz="0" w:space="0" w:color="auto"/>
        <w:left w:val="none" w:sz="0" w:space="0" w:color="auto"/>
        <w:bottom w:val="none" w:sz="0" w:space="0" w:color="auto"/>
        <w:right w:val="none" w:sz="0" w:space="0" w:color="auto"/>
      </w:divBdr>
    </w:div>
    <w:div w:id="1862548724">
      <w:bodyDiv w:val="1"/>
      <w:marLeft w:val="0"/>
      <w:marRight w:val="0"/>
      <w:marTop w:val="0"/>
      <w:marBottom w:val="0"/>
      <w:divBdr>
        <w:top w:val="none" w:sz="0" w:space="0" w:color="auto"/>
        <w:left w:val="none" w:sz="0" w:space="0" w:color="auto"/>
        <w:bottom w:val="none" w:sz="0" w:space="0" w:color="auto"/>
        <w:right w:val="none" w:sz="0" w:space="0" w:color="auto"/>
      </w:divBdr>
    </w:div>
    <w:div w:id="20071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F:\BACK%20UP%20LAB%20top%201211-20\(D)%20my%20documents%20on%20disk\SRF%202011\vorlage%20SRF%20201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A%20M%20XFEL%20Serie\SRF%202013\CAV%20data%20PCV\PCV%20EZ\Results%20EZ%20PC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0616963862567"/>
          <c:y val="5.4386822336863073E-2"/>
          <c:w val="0.73343904047326514"/>
          <c:h val="0.64428420229251004"/>
        </c:manualLayout>
      </c:layout>
      <c:scatterChart>
        <c:scatterStyle val="lineMarker"/>
        <c:varyColors val="0"/>
        <c:ser>
          <c:idx val="0"/>
          <c:order val="0"/>
          <c:tx>
            <c:strRef>
              <c:f>Tabelle1!$A$2</c:f>
              <c:strCache>
                <c:ptCount val="1"/>
                <c:pt idx="0">
                  <c:v>CAV00509</c:v>
                </c:pt>
              </c:strCache>
            </c:strRef>
          </c:tx>
          <c:spPr>
            <a:ln w="28575">
              <a:noFill/>
            </a:ln>
          </c:spPr>
          <c:marker>
            <c:symbol val="diamond"/>
            <c:size val="3"/>
          </c:marker>
          <c:xVal>
            <c:numRef>
              <c:f>Tabelle1!$A$9:$A$27</c:f>
              <c:numCache>
                <c:formatCode>General</c:formatCode>
                <c:ptCount val="19"/>
                <c:pt idx="0">
                  <c:v>2.4700000000000002</c:v>
                </c:pt>
                <c:pt idx="1">
                  <c:v>4.6900000000000004</c:v>
                </c:pt>
                <c:pt idx="2">
                  <c:v>9.6300000000000008</c:v>
                </c:pt>
                <c:pt idx="3">
                  <c:v>7.13</c:v>
                </c:pt>
                <c:pt idx="4">
                  <c:v>9.6300000000000008</c:v>
                </c:pt>
                <c:pt idx="5">
                  <c:v>11.3</c:v>
                </c:pt>
                <c:pt idx="6">
                  <c:v>13.39</c:v>
                </c:pt>
                <c:pt idx="7">
                  <c:v>15.41</c:v>
                </c:pt>
                <c:pt idx="8">
                  <c:v>17.48</c:v>
                </c:pt>
                <c:pt idx="9">
                  <c:v>19.12</c:v>
                </c:pt>
                <c:pt idx="10">
                  <c:v>20.77</c:v>
                </c:pt>
                <c:pt idx="11">
                  <c:v>22.5</c:v>
                </c:pt>
                <c:pt idx="12">
                  <c:v>24.13</c:v>
                </c:pt>
                <c:pt idx="13">
                  <c:v>25.6</c:v>
                </c:pt>
                <c:pt idx="14">
                  <c:v>26.87</c:v>
                </c:pt>
                <c:pt idx="15">
                  <c:v>27.98</c:v>
                </c:pt>
                <c:pt idx="16">
                  <c:v>28.78</c:v>
                </c:pt>
                <c:pt idx="17">
                  <c:v>29.48</c:v>
                </c:pt>
                <c:pt idx="18">
                  <c:v>29.95</c:v>
                </c:pt>
              </c:numCache>
            </c:numRef>
          </c:xVal>
          <c:yVal>
            <c:numRef>
              <c:f>Tabelle1!$B$9:$B$27</c:f>
              <c:numCache>
                <c:formatCode>General</c:formatCode>
                <c:ptCount val="19"/>
                <c:pt idx="0">
                  <c:v>20000000000</c:v>
                </c:pt>
                <c:pt idx="1">
                  <c:v>20700000000</c:v>
                </c:pt>
                <c:pt idx="2">
                  <c:v>18800000000</c:v>
                </c:pt>
                <c:pt idx="3">
                  <c:v>20100000000</c:v>
                </c:pt>
                <c:pt idx="4">
                  <c:v>18700000000</c:v>
                </c:pt>
                <c:pt idx="5">
                  <c:v>17700000000</c:v>
                </c:pt>
                <c:pt idx="6">
                  <c:v>16700000000</c:v>
                </c:pt>
                <c:pt idx="7">
                  <c:v>16100000000</c:v>
                </c:pt>
                <c:pt idx="8">
                  <c:v>15600000000</c:v>
                </c:pt>
                <c:pt idx="9">
                  <c:v>15300000000</c:v>
                </c:pt>
                <c:pt idx="10">
                  <c:v>14800000000</c:v>
                </c:pt>
                <c:pt idx="11">
                  <c:v>14000000000</c:v>
                </c:pt>
                <c:pt idx="12">
                  <c:v>13000000000</c:v>
                </c:pt>
                <c:pt idx="13">
                  <c:v>11800000000</c:v>
                </c:pt>
                <c:pt idx="14">
                  <c:v>10500000000</c:v>
                </c:pt>
                <c:pt idx="15">
                  <c:v>9190000000</c:v>
                </c:pt>
                <c:pt idx="16">
                  <c:v>7990000000</c:v>
                </c:pt>
                <c:pt idx="17">
                  <c:v>6870000000</c:v>
                </c:pt>
                <c:pt idx="18">
                  <c:v>6500000000</c:v>
                </c:pt>
              </c:numCache>
            </c:numRef>
          </c:yVal>
          <c:smooth val="0"/>
        </c:ser>
        <c:ser>
          <c:idx val="1"/>
          <c:order val="1"/>
          <c:tx>
            <c:strRef>
              <c:f>Tabelle1!$A$30</c:f>
              <c:strCache>
                <c:ptCount val="1"/>
                <c:pt idx="0">
                  <c:v>CAV00510</c:v>
                </c:pt>
              </c:strCache>
            </c:strRef>
          </c:tx>
          <c:spPr>
            <a:ln w="28575">
              <a:noFill/>
            </a:ln>
          </c:spPr>
          <c:marker>
            <c:symbol val="square"/>
            <c:size val="2"/>
          </c:marker>
          <c:xVal>
            <c:numRef>
              <c:f>Tabelle1!$A$33:$A$49</c:f>
              <c:numCache>
                <c:formatCode>General</c:formatCode>
                <c:ptCount val="17"/>
                <c:pt idx="0">
                  <c:v>3.34</c:v>
                </c:pt>
                <c:pt idx="1">
                  <c:v>5.95</c:v>
                </c:pt>
                <c:pt idx="2">
                  <c:v>8.34</c:v>
                </c:pt>
                <c:pt idx="3">
                  <c:v>10.33</c:v>
                </c:pt>
                <c:pt idx="4">
                  <c:v>12.8</c:v>
                </c:pt>
                <c:pt idx="5">
                  <c:v>15.16</c:v>
                </c:pt>
                <c:pt idx="6">
                  <c:v>17.600000000000001</c:v>
                </c:pt>
                <c:pt idx="7">
                  <c:v>19.61</c:v>
                </c:pt>
                <c:pt idx="8">
                  <c:v>21.76</c:v>
                </c:pt>
                <c:pt idx="9">
                  <c:v>23.6</c:v>
                </c:pt>
                <c:pt idx="10">
                  <c:v>24.98</c:v>
                </c:pt>
                <c:pt idx="11">
                  <c:v>25.93</c:v>
                </c:pt>
                <c:pt idx="12">
                  <c:v>26.72</c:v>
                </c:pt>
                <c:pt idx="13">
                  <c:v>27.44</c:v>
                </c:pt>
                <c:pt idx="14">
                  <c:v>28.04</c:v>
                </c:pt>
                <c:pt idx="15">
                  <c:v>28.76</c:v>
                </c:pt>
                <c:pt idx="16">
                  <c:v>28.85</c:v>
                </c:pt>
              </c:numCache>
            </c:numRef>
          </c:xVal>
          <c:yVal>
            <c:numRef>
              <c:f>Tabelle1!$B$33:$B$49</c:f>
              <c:numCache>
                <c:formatCode>General</c:formatCode>
                <c:ptCount val="17"/>
                <c:pt idx="0">
                  <c:v>22100000000</c:v>
                </c:pt>
                <c:pt idx="1">
                  <c:v>22200000000</c:v>
                </c:pt>
                <c:pt idx="2">
                  <c:v>21200000000</c:v>
                </c:pt>
                <c:pt idx="3">
                  <c:v>19900000000</c:v>
                </c:pt>
                <c:pt idx="4">
                  <c:v>18400000000</c:v>
                </c:pt>
                <c:pt idx="5">
                  <c:v>17200000000</c:v>
                </c:pt>
                <c:pt idx="6">
                  <c:v>16300000000</c:v>
                </c:pt>
                <c:pt idx="7">
                  <c:v>16000000000</c:v>
                </c:pt>
                <c:pt idx="8">
                  <c:v>15700000000</c:v>
                </c:pt>
                <c:pt idx="9">
                  <c:v>15200000000</c:v>
                </c:pt>
                <c:pt idx="10">
                  <c:v>14500000000</c:v>
                </c:pt>
                <c:pt idx="11">
                  <c:v>13700000000</c:v>
                </c:pt>
                <c:pt idx="12">
                  <c:v>12900000000</c:v>
                </c:pt>
                <c:pt idx="13">
                  <c:v>11900000000</c:v>
                </c:pt>
                <c:pt idx="14">
                  <c:v>10900000000</c:v>
                </c:pt>
                <c:pt idx="15">
                  <c:v>9420000000</c:v>
                </c:pt>
                <c:pt idx="16">
                  <c:v>9240000000</c:v>
                </c:pt>
              </c:numCache>
            </c:numRef>
          </c:yVal>
          <c:smooth val="0"/>
        </c:ser>
        <c:ser>
          <c:idx val="2"/>
          <c:order val="2"/>
          <c:tx>
            <c:strRef>
              <c:f>Tabelle1!$A$53</c:f>
              <c:strCache>
                <c:ptCount val="1"/>
                <c:pt idx="0">
                  <c:v>CAV00511</c:v>
                </c:pt>
              </c:strCache>
            </c:strRef>
          </c:tx>
          <c:spPr>
            <a:ln w="28575">
              <a:noFill/>
            </a:ln>
          </c:spPr>
          <c:marker>
            <c:symbol val="triangle"/>
            <c:size val="3"/>
          </c:marker>
          <c:xVal>
            <c:numRef>
              <c:f>Tabelle1!$A$56:$A$64</c:f>
              <c:numCache>
                <c:formatCode>General</c:formatCode>
                <c:ptCount val="9"/>
                <c:pt idx="0">
                  <c:v>1.89</c:v>
                </c:pt>
                <c:pt idx="1">
                  <c:v>3.4</c:v>
                </c:pt>
                <c:pt idx="2">
                  <c:v>4.63</c:v>
                </c:pt>
                <c:pt idx="3">
                  <c:v>5.13</c:v>
                </c:pt>
                <c:pt idx="4">
                  <c:v>5.52</c:v>
                </c:pt>
                <c:pt idx="5">
                  <c:v>5.65</c:v>
                </c:pt>
                <c:pt idx="6">
                  <c:v>5.76</c:v>
                </c:pt>
                <c:pt idx="7">
                  <c:v>5.85</c:v>
                </c:pt>
                <c:pt idx="8">
                  <c:v>5.94</c:v>
                </c:pt>
              </c:numCache>
            </c:numRef>
          </c:xVal>
          <c:yVal>
            <c:numRef>
              <c:f>Tabelle1!$B$56:$B$64</c:f>
              <c:numCache>
                <c:formatCode>General</c:formatCode>
                <c:ptCount val="9"/>
                <c:pt idx="0">
                  <c:v>15800000000</c:v>
                </c:pt>
                <c:pt idx="1">
                  <c:v>16800000000</c:v>
                </c:pt>
                <c:pt idx="2">
                  <c:v>14600000000</c:v>
                </c:pt>
                <c:pt idx="3">
                  <c:v>9770000000</c:v>
                </c:pt>
                <c:pt idx="4">
                  <c:v>6380000000</c:v>
                </c:pt>
                <c:pt idx="5">
                  <c:v>4620000000</c:v>
                </c:pt>
                <c:pt idx="6">
                  <c:v>3600000000</c:v>
                </c:pt>
                <c:pt idx="7">
                  <c:v>3380000000</c:v>
                </c:pt>
                <c:pt idx="8">
                  <c:v>3280000000</c:v>
                </c:pt>
              </c:numCache>
            </c:numRef>
          </c:yVal>
          <c:smooth val="0"/>
        </c:ser>
        <c:ser>
          <c:idx val="4"/>
          <c:order val="3"/>
          <c:tx>
            <c:strRef>
              <c:f>Tabelle1!$A$84</c:f>
              <c:strCache>
                <c:ptCount val="1"/>
                <c:pt idx="0">
                  <c:v>CAV00512 </c:v>
                </c:pt>
              </c:strCache>
            </c:strRef>
          </c:tx>
          <c:spPr>
            <a:ln w="28575">
              <a:noFill/>
            </a:ln>
          </c:spPr>
          <c:marker>
            <c:symbol val="star"/>
            <c:size val="2"/>
            <c:spPr>
              <a:solidFill>
                <a:srgbClr val="00B050"/>
              </a:solidFill>
            </c:spPr>
          </c:marker>
          <c:xVal>
            <c:numRef>
              <c:f>Tabelle1!$A$87:$A$105</c:f>
              <c:numCache>
                <c:formatCode>General</c:formatCode>
                <c:ptCount val="19"/>
                <c:pt idx="0">
                  <c:v>0.92</c:v>
                </c:pt>
                <c:pt idx="1">
                  <c:v>1.47</c:v>
                </c:pt>
                <c:pt idx="2">
                  <c:v>2.38</c:v>
                </c:pt>
                <c:pt idx="3">
                  <c:v>3.89</c:v>
                </c:pt>
                <c:pt idx="4">
                  <c:v>5.03</c:v>
                </c:pt>
                <c:pt idx="5">
                  <c:v>5.75</c:v>
                </c:pt>
                <c:pt idx="6">
                  <c:v>6.61</c:v>
                </c:pt>
                <c:pt idx="7">
                  <c:v>7.62</c:v>
                </c:pt>
                <c:pt idx="8">
                  <c:v>8.81</c:v>
                </c:pt>
                <c:pt idx="9">
                  <c:v>10.24</c:v>
                </c:pt>
                <c:pt idx="10">
                  <c:v>12.01</c:v>
                </c:pt>
                <c:pt idx="11">
                  <c:v>14.22</c:v>
                </c:pt>
                <c:pt idx="12">
                  <c:v>16.100000000000001</c:v>
                </c:pt>
                <c:pt idx="13">
                  <c:v>18.38</c:v>
                </c:pt>
                <c:pt idx="14">
                  <c:v>20.2</c:v>
                </c:pt>
                <c:pt idx="15">
                  <c:v>22.15</c:v>
                </c:pt>
                <c:pt idx="16">
                  <c:v>24.3</c:v>
                </c:pt>
                <c:pt idx="17">
                  <c:v>25.69</c:v>
                </c:pt>
                <c:pt idx="18">
                  <c:v>26.09</c:v>
                </c:pt>
              </c:numCache>
            </c:numRef>
          </c:xVal>
          <c:yVal>
            <c:numRef>
              <c:f>Tabelle1!$B$87:$B$105</c:f>
              <c:numCache>
                <c:formatCode>General</c:formatCode>
                <c:ptCount val="19"/>
                <c:pt idx="0">
                  <c:v>25500000000</c:v>
                </c:pt>
                <c:pt idx="1">
                  <c:v>26000000000</c:v>
                </c:pt>
                <c:pt idx="2">
                  <c:v>26700000000</c:v>
                </c:pt>
                <c:pt idx="3">
                  <c:v>26800000000</c:v>
                </c:pt>
                <c:pt idx="4">
                  <c:v>26500000000</c:v>
                </c:pt>
                <c:pt idx="5">
                  <c:v>26200000000</c:v>
                </c:pt>
                <c:pt idx="6">
                  <c:v>25800000000</c:v>
                </c:pt>
                <c:pt idx="7">
                  <c:v>25100000000</c:v>
                </c:pt>
                <c:pt idx="8">
                  <c:v>24200000000</c:v>
                </c:pt>
                <c:pt idx="9">
                  <c:v>22900000000</c:v>
                </c:pt>
                <c:pt idx="10">
                  <c:v>21500000000</c:v>
                </c:pt>
                <c:pt idx="11">
                  <c:v>20200000000</c:v>
                </c:pt>
                <c:pt idx="12">
                  <c:v>19600000000</c:v>
                </c:pt>
                <c:pt idx="13">
                  <c:v>19200000000</c:v>
                </c:pt>
                <c:pt idx="14">
                  <c:v>19100000000</c:v>
                </c:pt>
                <c:pt idx="15">
                  <c:v>18900000000</c:v>
                </c:pt>
                <c:pt idx="16">
                  <c:v>18800000000</c:v>
                </c:pt>
                <c:pt idx="17">
                  <c:v>18700000000</c:v>
                </c:pt>
                <c:pt idx="18">
                  <c:v>18500000000</c:v>
                </c:pt>
              </c:numCache>
            </c:numRef>
          </c:yVal>
          <c:smooth val="0"/>
        </c:ser>
        <c:ser>
          <c:idx val="5"/>
          <c:order val="4"/>
          <c:tx>
            <c:strRef>
              <c:f>Tabelle1!$A$108</c:f>
              <c:strCache>
                <c:ptCount val="1"/>
                <c:pt idx="0">
                  <c:v>CAV00513</c:v>
                </c:pt>
              </c:strCache>
            </c:strRef>
          </c:tx>
          <c:spPr>
            <a:ln w="28575">
              <a:noFill/>
            </a:ln>
          </c:spPr>
          <c:marker>
            <c:symbol val="circle"/>
            <c:size val="3"/>
            <c:spPr>
              <a:solidFill>
                <a:srgbClr val="FF0000"/>
              </a:solidFill>
            </c:spPr>
          </c:marker>
          <c:xVal>
            <c:numRef>
              <c:f>Tabelle1!$A$111:$A$116</c:f>
              <c:numCache>
                <c:formatCode>General</c:formatCode>
                <c:ptCount val="6"/>
                <c:pt idx="0">
                  <c:v>3.51</c:v>
                </c:pt>
                <c:pt idx="1">
                  <c:v>6.3</c:v>
                </c:pt>
                <c:pt idx="2">
                  <c:v>10.94</c:v>
                </c:pt>
                <c:pt idx="3">
                  <c:v>13.58</c:v>
                </c:pt>
                <c:pt idx="4">
                  <c:v>18.87</c:v>
                </c:pt>
                <c:pt idx="5">
                  <c:v>22.15</c:v>
                </c:pt>
              </c:numCache>
            </c:numRef>
          </c:xVal>
          <c:yVal>
            <c:numRef>
              <c:f>Tabelle1!$B$111:$B$116</c:f>
              <c:numCache>
                <c:formatCode>General</c:formatCode>
                <c:ptCount val="6"/>
                <c:pt idx="0">
                  <c:v>22300000000</c:v>
                </c:pt>
                <c:pt idx="1">
                  <c:v>22300000000</c:v>
                </c:pt>
                <c:pt idx="2">
                  <c:v>19100000000</c:v>
                </c:pt>
                <c:pt idx="3">
                  <c:v>17500000000</c:v>
                </c:pt>
                <c:pt idx="4">
                  <c:v>15800000000</c:v>
                </c:pt>
                <c:pt idx="5">
                  <c:v>15000000000</c:v>
                </c:pt>
              </c:numCache>
            </c:numRef>
          </c:yVal>
          <c:smooth val="0"/>
        </c:ser>
        <c:ser>
          <c:idx val="6"/>
          <c:order val="5"/>
          <c:tx>
            <c:strRef>
              <c:f>Tabelle1!$A$121</c:f>
              <c:strCache>
                <c:ptCount val="1"/>
                <c:pt idx="0">
                  <c:v>CAV00514</c:v>
                </c:pt>
              </c:strCache>
            </c:strRef>
          </c:tx>
          <c:spPr>
            <a:ln w="28575">
              <a:noFill/>
            </a:ln>
          </c:spPr>
          <c:marker>
            <c:symbol val="circle"/>
            <c:size val="3"/>
            <c:spPr>
              <a:solidFill>
                <a:srgbClr val="00B0F0"/>
              </a:solidFill>
            </c:spPr>
          </c:marker>
          <c:xVal>
            <c:numRef>
              <c:f>Tabelle1!$A$124:$A$149</c:f>
              <c:numCache>
                <c:formatCode>General</c:formatCode>
                <c:ptCount val="26"/>
                <c:pt idx="0">
                  <c:v>1.9</c:v>
                </c:pt>
                <c:pt idx="1">
                  <c:v>3.43</c:v>
                </c:pt>
                <c:pt idx="2">
                  <c:v>4.8499999999999996</c:v>
                </c:pt>
                <c:pt idx="3">
                  <c:v>6.14</c:v>
                </c:pt>
                <c:pt idx="4">
                  <c:v>7.69</c:v>
                </c:pt>
                <c:pt idx="5">
                  <c:v>9.15</c:v>
                </c:pt>
                <c:pt idx="6">
                  <c:v>10.43</c:v>
                </c:pt>
                <c:pt idx="7">
                  <c:v>11.85</c:v>
                </c:pt>
                <c:pt idx="8">
                  <c:v>13.2</c:v>
                </c:pt>
                <c:pt idx="9">
                  <c:v>14.7</c:v>
                </c:pt>
                <c:pt idx="10">
                  <c:v>16.39</c:v>
                </c:pt>
                <c:pt idx="11">
                  <c:v>18.28</c:v>
                </c:pt>
                <c:pt idx="12">
                  <c:v>19.93</c:v>
                </c:pt>
                <c:pt idx="13">
                  <c:v>21.49</c:v>
                </c:pt>
                <c:pt idx="14">
                  <c:v>22.65</c:v>
                </c:pt>
                <c:pt idx="15">
                  <c:v>23.84</c:v>
                </c:pt>
                <c:pt idx="16">
                  <c:v>25.04</c:v>
                </c:pt>
                <c:pt idx="17">
                  <c:v>26.15</c:v>
                </c:pt>
                <c:pt idx="18">
                  <c:v>27.27</c:v>
                </c:pt>
                <c:pt idx="19">
                  <c:v>28.24</c:v>
                </c:pt>
                <c:pt idx="20">
                  <c:v>29.1</c:v>
                </c:pt>
                <c:pt idx="21">
                  <c:v>30.38</c:v>
                </c:pt>
                <c:pt idx="22">
                  <c:v>31.33</c:v>
                </c:pt>
                <c:pt idx="23">
                  <c:v>32.020000000000003</c:v>
                </c:pt>
                <c:pt idx="24">
                  <c:v>32.54</c:v>
                </c:pt>
                <c:pt idx="25">
                  <c:v>32.979999999999997</c:v>
                </c:pt>
              </c:numCache>
            </c:numRef>
          </c:xVal>
          <c:yVal>
            <c:numRef>
              <c:f>Tabelle1!$B$124:$B$149</c:f>
              <c:numCache>
                <c:formatCode>General</c:formatCode>
                <c:ptCount val="26"/>
                <c:pt idx="0">
                  <c:v>20700000000</c:v>
                </c:pt>
                <c:pt idx="1">
                  <c:v>22100000000</c:v>
                </c:pt>
                <c:pt idx="2">
                  <c:v>22400000000</c:v>
                </c:pt>
                <c:pt idx="3">
                  <c:v>22000000000</c:v>
                </c:pt>
                <c:pt idx="4">
                  <c:v>21300000000</c:v>
                </c:pt>
                <c:pt idx="5">
                  <c:v>20300000000</c:v>
                </c:pt>
                <c:pt idx="6">
                  <c:v>19400000000</c:v>
                </c:pt>
                <c:pt idx="7">
                  <c:v>18500000000</c:v>
                </c:pt>
                <c:pt idx="8">
                  <c:v>17800000000</c:v>
                </c:pt>
                <c:pt idx="9">
                  <c:v>17300000000</c:v>
                </c:pt>
                <c:pt idx="10">
                  <c:v>16800000000</c:v>
                </c:pt>
                <c:pt idx="11">
                  <c:v>16300000000</c:v>
                </c:pt>
                <c:pt idx="12">
                  <c:v>16000000000</c:v>
                </c:pt>
                <c:pt idx="13">
                  <c:v>15600000000</c:v>
                </c:pt>
                <c:pt idx="14">
                  <c:v>15300000000</c:v>
                </c:pt>
                <c:pt idx="15">
                  <c:v>15000000000</c:v>
                </c:pt>
                <c:pt idx="16">
                  <c:v>14600000000</c:v>
                </c:pt>
                <c:pt idx="17">
                  <c:v>14200000000</c:v>
                </c:pt>
                <c:pt idx="18">
                  <c:v>13600000000</c:v>
                </c:pt>
                <c:pt idx="19">
                  <c:v>13000000000</c:v>
                </c:pt>
                <c:pt idx="20">
                  <c:v>12300000000</c:v>
                </c:pt>
                <c:pt idx="21">
                  <c:v>11000000000</c:v>
                </c:pt>
                <c:pt idx="22">
                  <c:v>9850000000</c:v>
                </c:pt>
                <c:pt idx="23">
                  <c:v>9040000000</c:v>
                </c:pt>
                <c:pt idx="24">
                  <c:v>8500000000</c:v>
                </c:pt>
                <c:pt idx="25">
                  <c:v>8260000000</c:v>
                </c:pt>
              </c:numCache>
            </c:numRef>
          </c:yVal>
          <c:smooth val="0"/>
        </c:ser>
        <c:ser>
          <c:idx val="10"/>
          <c:order val="6"/>
          <c:tx>
            <c:strRef>
              <c:f>Tabelle1!$A$152</c:f>
              <c:strCache>
                <c:ptCount val="1"/>
                <c:pt idx="0">
                  <c:v>CAV00515</c:v>
                </c:pt>
              </c:strCache>
            </c:strRef>
          </c:tx>
          <c:spPr>
            <a:ln w="28575">
              <a:noFill/>
            </a:ln>
          </c:spPr>
          <c:marker>
            <c:symbol val="square"/>
            <c:size val="3"/>
          </c:marker>
          <c:xVal>
            <c:numRef>
              <c:f>Tabelle1!$A$155:$A$171</c:f>
              <c:numCache>
                <c:formatCode>General</c:formatCode>
                <c:ptCount val="17"/>
                <c:pt idx="0">
                  <c:v>1.07</c:v>
                </c:pt>
                <c:pt idx="1">
                  <c:v>1.47</c:v>
                </c:pt>
                <c:pt idx="2">
                  <c:v>1.71</c:v>
                </c:pt>
                <c:pt idx="3">
                  <c:v>1.98</c:v>
                </c:pt>
                <c:pt idx="4">
                  <c:v>2.27</c:v>
                </c:pt>
                <c:pt idx="5">
                  <c:v>2.57</c:v>
                </c:pt>
                <c:pt idx="6">
                  <c:v>2.83</c:v>
                </c:pt>
                <c:pt idx="7">
                  <c:v>3.01</c:v>
                </c:pt>
                <c:pt idx="8">
                  <c:v>3.15</c:v>
                </c:pt>
                <c:pt idx="9">
                  <c:v>3.26</c:v>
                </c:pt>
                <c:pt idx="10">
                  <c:v>3.39</c:v>
                </c:pt>
                <c:pt idx="11">
                  <c:v>3.48</c:v>
                </c:pt>
                <c:pt idx="12">
                  <c:v>3.56</c:v>
                </c:pt>
                <c:pt idx="13">
                  <c:v>3.62</c:v>
                </c:pt>
                <c:pt idx="14">
                  <c:v>3.68</c:v>
                </c:pt>
                <c:pt idx="15">
                  <c:v>3.74</c:v>
                </c:pt>
                <c:pt idx="16">
                  <c:v>3.79</c:v>
                </c:pt>
              </c:numCache>
            </c:numRef>
          </c:xVal>
          <c:yVal>
            <c:numRef>
              <c:f>Tabelle1!$B$155:$B$171</c:f>
              <c:numCache>
                <c:formatCode>General</c:formatCode>
                <c:ptCount val="17"/>
                <c:pt idx="0">
                  <c:v>4100000000</c:v>
                </c:pt>
                <c:pt idx="1">
                  <c:v>4730000000</c:v>
                </c:pt>
                <c:pt idx="2">
                  <c:v>5010000000</c:v>
                </c:pt>
                <c:pt idx="3">
                  <c:v>5250000000</c:v>
                </c:pt>
                <c:pt idx="4">
                  <c:v>5440000000</c:v>
                </c:pt>
                <c:pt idx="5">
                  <c:v>5520000000</c:v>
                </c:pt>
                <c:pt idx="6">
                  <c:v>5340000000</c:v>
                </c:pt>
                <c:pt idx="7">
                  <c:v>4910000000</c:v>
                </c:pt>
                <c:pt idx="8">
                  <c:v>4390000000</c:v>
                </c:pt>
                <c:pt idx="9">
                  <c:v>3920000000</c:v>
                </c:pt>
                <c:pt idx="10">
                  <c:v>3500000000</c:v>
                </c:pt>
                <c:pt idx="11">
                  <c:v>3100000000</c:v>
                </c:pt>
                <c:pt idx="12">
                  <c:v>2730000000</c:v>
                </c:pt>
                <c:pt idx="13">
                  <c:v>2400000000</c:v>
                </c:pt>
                <c:pt idx="14">
                  <c:v>2120000000</c:v>
                </c:pt>
                <c:pt idx="15">
                  <c:v>1880000000</c:v>
                </c:pt>
                <c:pt idx="16">
                  <c:v>1750000000</c:v>
                </c:pt>
              </c:numCache>
            </c:numRef>
          </c:yVal>
          <c:smooth val="0"/>
        </c:ser>
        <c:ser>
          <c:idx val="8"/>
          <c:order val="7"/>
          <c:tx>
            <c:strRef>
              <c:f>Tabelle1!$A$193</c:f>
              <c:strCache>
                <c:ptCount val="1"/>
                <c:pt idx="0">
                  <c:v>CAV00516</c:v>
                </c:pt>
              </c:strCache>
            </c:strRef>
          </c:tx>
          <c:spPr>
            <a:ln w="28575">
              <a:noFill/>
            </a:ln>
          </c:spPr>
          <c:marker>
            <c:symbol val="circle"/>
            <c:size val="3"/>
            <c:spPr>
              <a:solidFill>
                <a:schemeClr val="tx1">
                  <a:lumMod val="95000"/>
                  <a:lumOff val="5000"/>
                </a:schemeClr>
              </a:solidFill>
            </c:spPr>
          </c:marker>
          <c:xVal>
            <c:numRef>
              <c:f>Tabelle1!$A$196:$A$206</c:f>
              <c:numCache>
                <c:formatCode>General</c:formatCode>
                <c:ptCount val="11"/>
                <c:pt idx="0">
                  <c:v>3.6</c:v>
                </c:pt>
                <c:pt idx="1">
                  <c:v>6.39</c:v>
                </c:pt>
                <c:pt idx="2">
                  <c:v>8.92</c:v>
                </c:pt>
                <c:pt idx="3">
                  <c:v>11.02</c:v>
                </c:pt>
                <c:pt idx="4">
                  <c:v>13.56</c:v>
                </c:pt>
                <c:pt idx="5">
                  <c:v>16</c:v>
                </c:pt>
                <c:pt idx="6">
                  <c:v>18.41</c:v>
                </c:pt>
                <c:pt idx="7">
                  <c:v>18.47</c:v>
                </c:pt>
                <c:pt idx="8">
                  <c:v>19.32</c:v>
                </c:pt>
                <c:pt idx="9">
                  <c:v>19.41</c:v>
                </c:pt>
                <c:pt idx="10">
                  <c:v>19.47</c:v>
                </c:pt>
              </c:numCache>
            </c:numRef>
          </c:xVal>
          <c:yVal>
            <c:numRef>
              <c:f>Tabelle1!$B$196:$B$206</c:f>
              <c:numCache>
                <c:formatCode>General</c:formatCode>
                <c:ptCount val="11"/>
                <c:pt idx="0">
                  <c:v>24700000000</c:v>
                </c:pt>
                <c:pt idx="1">
                  <c:v>24600000000</c:v>
                </c:pt>
                <c:pt idx="2">
                  <c:v>23100000000</c:v>
                </c:pt>
                <c:pt idx="3">
                  <c:v>21500000000</c:v>
                </c:pt>
                <c:pt idx="4">
                  <c:v>19700000000</c:v>
                </c:pt>
                <c:pt idx="5">
                  <c:v>18400000000</c:v>
                </c:pt>
                <c:pt idx="6">
                  <c:v>17400000000</c:v>
                </c:pt>
                <c:pt idx="7">
                  <c:v>17300000000</c:v>
                </c:pt>
                <c:pt idx="8">
                  <c:v>17300000000</c:v>
                </c:pt>
                <c:pt idx="9">
                  <c:v>17200000000</c:v>
                </c:pt>
                <c:pt idx="10">
                  <c:v>17200000000</c:v>
                </c:pt>
              </c:numCache>
            </c:numRef>
          </c:yVal>
          <c:smooth val="0"/>
        </c:ser>
        <c:dLbls>
          <c:showLegendKey val="0"/>
          <c:showVal val="0"/>
          <c:showCatName val="0"/>
          <c:showSerName val="0"/>
          <c:showPercent val="0"/>
          <c:showBubbleSize val="0"/>
        </c:dLbls>
        <c:axId val="204550912"/>
        <c:axId val="204553216"/>
      </c:scatterChart>
      <c:scatterChart>
        <c:scatterStyle val="lineMarker"/>
        <c:varyColors val="0"/>
        <c:ser>
          <c:idx val="11"/>
          <c:order val="8"/>
          <c:tx>
            <c:strRef>
              <c:f>Tabelle1!$A$3</c:f>
              <c:strCache>
                <c:ptCount val="1"/>
                <c:pt idx="0">
                  <c:v>CAV00509 fe</c:v>
                </c:pt>
              </c:strCache>
            </c:strRef>
          </c:tx>
          <c:spPr>
            <a:ln w="28575">
              <a:noFill/>
            </a:ln>
          </c:spPr>
          <c:marker>
            <c:symbol val="diamond"/>
            <c:size val="3"/>
            <c:spPr>
              <a:pattFill prst="pct60">
                <a:fgClr>
                  <a:schemeClr val="tx2"/>
                </a:fgClr>
                <a:bgClr>
                  <a:schemeClr val="bg1"/>
                </a:bgClr>
              </a:pattFill>
              <a:ln>
                <a:solidFill>
                  <a:srgbClr val="0070C0"/>
                </a:solidFill>
              </a:ln>
            </c:spPr>
          </c:marker>
          <c:xVal>
            <c:numRef>
              <c:f>Tabelle1!$A$9:$A$27</c:f>
              <c:numCache>
                <c:formatCode>General</c:formatCode>
                <c:ptCount val="19"/>
                <c:pt idx="0">
                  <c:v>2.4700000000000002</c:v>
                </c:pt>
                <c:pt idx="1">
                  <c:v>4.6900000000000004</c:v>
                </c:pt>
                <c:pt idx="2">
                  <c:v>9.6300000000000008</c:v>
                </c:pt>
                <c:pt idx="3">
                  <c:v>7.13</c:v>
                </c:pt>
                <c:pt idx="4">
                  <c:v>9.6300000000000008</c:v>
                </c:pt>
                <c:pt idx="5">
                  <c:v>11.3</c:v>
                </c:pt>
                <c:pt idx="6">
                  <c:v>13.39</c:v>
                </c:pt>
                <c:pt idx="7">
                  <c:v>15.41</c:v>
                </c:pt>
                <c:pt idx="8">
                  <c:v>17.48</c:v>
                </c:pt>
                <c:pt idx="9">
                  <c:v>19.12</c:v>
                </c:pt>
                <c:pt idx="10">
                  <c:v>20.77</c:v>
                </c:pt>
                <c:pt idx="11">
                  <c:v>22.5</c:v>
                </c:pt>
                <c:pt idx="12">
                  <c:v>24.13</c:v>
                </c:pt>
                <c:pt idx="13">
                  <c:v>25.6</c:v>
                </c:pt>
                <c:pt idx="14">
                  <c:v>26.87</c:v>
                </c:pt>
                <c:pt idx="15">
                  <c:v>27.98</c:v>
                </c:pt>
                <c:pt idx="16">
                  <c:v>28.78</c:v>
                </c:pt>
                <c:pt idx="17">
                  <c:v>29.48</c:v>
                </c:pt>
                <c:pt idx="18">
                  <c:v>29.95</c:v>
                </c:pt>
              </c:numCache>
            </c:numRef>
          </c:xVal>
          <c:yVal>
            <c:numRef>
              <c:f>Tabelle1!$D$9:$D$27</c:f>
              <c:numCache>
                <c:formatCode>General</c:formatCode>
                <c:ptCount val="19"/>
                <c:pt idx="0">
                  <c:v>0</c:v>
                </c:pt>
                <c:pt idx="1">
                  <c:v>0</c:v>
                </c:pt>
                <c:pt idx="2">
                  <c:v>0</c:v>
                </c:pt>
                <c:pt idx="3">
                  <c:v>0</c:v>
                </c:pt>
                <c:pt idx="4">
                  <c:v>0</c:v>
                </c:pt>
                <c:pt idx="5">
                  <c:v>0</c:v>
                </c:pt>
                <c:pt idx="6">
                  <c:v>0</c:v>
                </c:pt>
                <c:pt idx="7">
                  <c:v>0</c:v>
                </c:pt>
                <c:pt idx="8">
                  <c:v>2.0000000000000001E-4</c:v>
                </c:pt>
                <c:pt idx="9">
                  <c:v>6.9999999999999999E-4</c:v>
                </c:pt>
                <c:pt idx="10">
                  <c:v>2.0999999999999999E-3</c:v>
                </c:pt>
                <c:pt idx="11">
                  <c:v>5.8999999999999999E-3</c:v>
                </c:pt>
                <c:pt idx="12">
                  <c:v>1.46E-2</c:v>
                </c:pt>
                <c:pt idx="13">
                  <c:v>3.0200000000000001E-2</c:v>
                </c:pt>
                <c:pt idx="14">
                  <c:v>5.4800000000000001E-2</c:v>
                </c:pt>
                <c:pt idx="15">
                  <c:v>8.77E-2</c:v>
                </c:pt>
                <c:pt idx="16">
                  <c:v>0.13189999999999999</c:v>
                </c:pt>
                <c:pt idx="17">
                  <c:v>0.1832</c:v>
                </c:pt>
                <c:pt idx="18">
                  <c:v>0.21679999999999999</c:v>
                </c:pt>
              </c:numCache>
            </c:numRef>
          </c:yVal>
          <c:smooth val="0"/>
        </c:ser>
        <c:ser>
          <c:idx val="14"/>
          <c:order val="9"/>
          <c:tx>
            <c:strRef>
              <c:f>Tabelle1!$B$152</c:f>
              <c:strCache>
                <c:ptCount val="1"/>
                <c:pt idx="0">
                  <c:v>CAV00515 fe</c:v>
                </c:pt>
              </c:strCache>
            </c:strRef>
          </c:tx>
          <c:spPr>
            <a:ln w="28575">
              <a:noFill/>
            </a:ln>
          </c:spPr>
          <c:marker>
            <c:symbol val="square"/>
            <c:size val="3"/>
            <c:spPr>
              <a:pattFill prst="pct70">
                <a:fgClr>
                  <a:srgbClr val="00B0F0"/>
                </a:fgClr>
                <a:bgClr>
                  <a:schemeClr val="bg1"/>
                </a:bgClr>
              </a:pattFill>
            </c:spPr>
          </c:marker>
          <c:xVal>
            <c:numRef>
              <c:f>Tabelle1!$C$155:$C$171</c:f>
              <c:numCache>
                <c:formatCode>General</c:formatCode>
                <c:ptCount val="17"/>
                <c:pt idx="0">
                  <c:v>1.07</c:v>
                </c:pt>
                <c:pt idx="1">
                  <c:v>1.47</c:v>
                </c:pt>
                <c:pt idx="2">
                  <c:v>1.71</c:v>
                </c:pt>
                <c:pt idx="3">
                  <c:v>1.98</c:v>
                </c:pt>
                <c:pt idx="4">
                  <c:v>2.27</c:v>
                </c:pt>
                <c:pt idx="5">
                  <c:v>2.57</c:v>
                </c:pt>
                <c:pt idx="6">
                  <c:v>2.83</c:v>
                </c:pt>
                <c:pt idx="7">
                  <c:v>3.01</c:v>
                </c:pt>
                <c:pt idx="8">
                  <c:v>3.15</c:v>
                </c:pt>
                <c:pt idx="9">
                  <c:v>3.26</c:v>
                </c:pt>
                <c:pt idx="10">
                  <c:v>3.39</c:v>
                </c:pt>
                <c:pt idx="11">
                  <c:v>3.48</c:v>
                </c:pt>
                <c:pt idx="12">
                  <c:v>3.56</c:v>
                </c:pt>
                <c:pt idx="13">
                  <c:v>3.62</c:v>
                </c:pt>
                <c:pt idx="14">
                  <c:v>3.68</c:v>
                </c:pt>
                <c:pt idx="15">
                  <c:v>3.74</c:v>
                </c:pt>
                <c:pt idx="16">
                  <c:v>3.79</c:v>
                </c:pt>
              </c:numCache>
            </c:numRef>
          </c:xVal>
          <c:yVal>
            <c:numRef>
              <c:f>Tabelle1!$D$155:$D$171</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yVal>
          <c:smooth val="0"/>
        </c:ser>
        <c:ser>
          <c:idx val="15"/>
          <c:order val="10"/>
          <c:tx>
            <c:strRef>
              <c:f>Tabelle1!$B$193</c:f>
              <c:strCache>
                <c:ptCount val="1"/>
                <c:pt idx="0">
                  <c:v>CAV00516 fe</c:v>
                </c:pt>
              </c:strCache>
            </c:strRef>
          </c:tx>
          <c:spPr>
            <a:ln w="28575">
              <a:noFill/>
            </a:ln>
          </c:spPr>
          <c:marker>
            <c:symbol val="circle"/>
            <c:size val="3"/>
            <c:spPr>
              <a:pattFill prst="pct70">
                <a:fgClr>
                  <a:schemeClr val="tx1"/>
                </a:fgClr>
                <a:bgClr>
                  <a:schemeClr val="bg1"/>
                </a:bgClr>
              </a:pattFill>
            </c:spPr>
          </c:marker>
          <c:xVal>
            <c:numRef>
              <c:f>Tabelle1!$C$196:$C$206</c:f>
              <c:numCache>
                <c:formatCode>General</c:formatCode>
                <c:ptCount val="11"/>
                <c:pt idx="0">
                  <c:v>3.6</c:v>
                </c:pt>
                <c:pt idx="1">
                  <c:v>6.39</c:v>
                </c:pt>
                <c:pt idx="2">
                  <c:v>8.92</c:v>
                </c:pt>
                <c:pt idx="3">
                  <c:v>11.02</c:v>
                </c:pt>
                <c:pt idx="4">
                  <c:v>13.56</c:v>
                </c:pt>
                <c:pt idx="5">
                  <c:v>16</c:v>
                </c:pt>
                <c:pt idx="6">
                  <c:v>18.41</c:v>
                </c:pt>
                <c:pt idx="7">
                  <c:v>18.47</c:v>
                </c:pt>
                <c:pt idx="8">
                  <c:v>19.32</c:v>
                </c:pt>
                <c:pt idx="9">
                  <c:v>19.41</c:v>
                </c:pt>
                <c:pt idx="10">
                  <c:v>19.47</c:v>
                </c:pt>
              </c:numCache>
            </c:numRef>
          </c:xVal>
          <c:yVal>
            <c:numRef>
              <c:f>Tabelle1!$D$196:$D$206</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yVal>
          <c:smooth val="0"/>
        </c:ser>
        <c:dLbls>
          <c:showLegendKey val="0"/>
          <c:showVal val="0"/>
          <c:showCatName val="0"/>
          <c:showSerName val="0"/>
          <c:showPercent val="0"/>
          <c:showBubbleSize val="0"/>
        </c:dLbls>
        <c:axId val="204622848"/>
        <c:axId val="204620928"/>
      </c:scatterChart>
      <c:valAx>
        <c:axId val="204550912"/>
        <c:scaling>
          <c:orientation val="minMax"/>
        </c:scaling>
        <c:delete val="0"/>
        <c:axPos val="b"/>
        <c:title>
          <c:tx>
            <c:rich>
              <a:bodyPr/>
              <a:lstStyle/>
              <a:p>
                <a:pPr>
                  <a:defRPr sz="900"/>
                </a:pPr>
                <a:r>
                  <a:rPr lang="en-US" sz="900"/>
                  <a:t>Acceleration</a:t>
                </a:r>
                <a:r>
                  <a:rPr lang="en-US" sz="900" baseline="0"/>
                  <a:t> gradient Eacc [MV/m] </a:t>
                </a:r>
                <a:endParaRPr lang="en-US" sz="900"/>
              </a:p>
            </c:rich>
          </c:tx>
          <c:layout>
            <c:manualLayout>
              <c:xMode val="edge"/>
              <c:yMode val="edge"/>
              <c:x val="0.19102206939226871"/>
              <c:y val="0.75972109578121438"/>
            </c:manualLayout>
          </c:layout>
          <c:overlay val="0"/>
        </c:title>
        <c:numFmt formatCode="General" sourceLinked="1"/>
        <c:majorTickMark val="none"/>
        <c:minorTickMark val="none"/>
        <c:tickLblPos val="nextTo"/>
        <c:txPr>
          <a:bodyPr/>
          <a:lstStyle/>
          <a:p>
            <a:pPr>
              <a:defRPr sz="700" b="1"/>
            </a:pPr>
            <a:endParaRPr lang="en-US"/>
          </a:p>
        </c:txPr>
        <c:crossAx val="204553216"/>
        <c:crosses val="autoZero"/>
        <c:crossBetween val="midCat"/>
      </c:valAx>
      <c:valAx>
        <c:axId val="204553216"/>
        <c:scaling>
          <c:logBase val="10"/>
          <c:orientation val="minMax"/>
          <c:min val="1000000000"/>
        </c:scaling>
        <c:delete val="0"/>
        <c:axPos val="l"/>
        <c:majorGridlines/>
        <c:minorGridlines/>
        <c:title>
          <c:tx>
            <c:rich>
              <a:bodyPr/>
              <a:lstStyle/>
              <a:p>
                <a:pPr>
                  <a:defRPr sz="900"/>
                </a:pPr>
                <a:r>
                  <a:rPr lang="en-US" sz="900"/>
                  <a:t>Qo </a:t>
                </a:r>
              </a:p>
            </c:rich>
          </c:tx>
          <c:layout>
            <c:manualLayout>
              <c:xMode val="edge"/>
              <c:yMode val="edge"/>
              <c:x val="4.1935048223654472E-3"/>
              <c:y val="0.47168783860816693"/>
            </c:manualLayout>
          </c:layout>
          <c:overlay val="0"/>
        </c:title>
        <c:numFmt formatCode="0.E+00" sourceLinked="0"/>
        <c:majorTickMark val="none"/>
        <c:minorTickMark val="none"/>
        <c:tickLblPos val="nextTo"/>
        <c:txPr>
          <a:bodyPr/>
          <a:lstStyle/>
          <a:p>
            <a:pPr>
              <a:defRPr sz="700" b="1"/>
            </a:pPr>
            <a:endParaRPr lang="en-US"/>
          </a:p>
        </c:txPr>
        <c:crossAx val="204550912"/>
        <c:crosses val="autoZero"/>
        <c:crossBetween val="midCat"/>
      </c:valAx>
      <c:valAx>
        <c:axId val="204620928"/>
        <c:scaling>
          <c:orientation val="minMax"/>
          <c:max val="1"/>
        </c:scaling>
        <c:delete val="0"/>
        <c:axPos val="r"/>
        <c:title>
          <c:tx>
            <c:rich>
              <a:bodyPr rot="-5400000" vert="horz"/>
              <a:lstStyle/>
              <a:p>
                <a:pPr>
                  <a:defRPr sz="900"/>
                </a:pPr>
                <a:r>
                  <a:rPr lang="en-US" sz="900"/>
                  <a:t>Radiation level mGy/min  </a:t>
                </a:r>
              </a:p>
            </c:rich>
          </c:tx>
          <c:overlay val="0"/>
        </c:title>
        <c:numFmt formatCode="General" sourceLinked="1"/>
        <c:majorTickMark val="out"/>
        <c:minorTickMark val="none"/>
        <c:tickLblPos val="nextTo"/>
        <c:txPr>
          <a:bodyPr/>
          <a:lstStyle/>
          <a:p>
            <a:pPr>
              <a:defRPr sz="700" b="1"/>
            </a:pPr>
            <a:endParaRPr lang="en-US"/>
          </a:p>
        </c:txPr>
        <c:crossAx val="204622848"/>
        <c:crosses val="max"/>
        <c:crossBetween val="midCat"/>
      </c:valAx>
      <c:valAx>
        <c:axId val="204622848"/>
        <c:scaling>
          <c:orientation val="minMax"/>
        </c:scaling>
        <c:delete val="1"/>
        <c:axPos val="b"/>
        <c:numFmt formatCode="General" sourceLinked="1"/>
        <c:majorTickMark val="out"/>
        <c:minorTickMark val="none"/>
        <c:tickLblPos val="nextTo"/>
        <c:crossAx val="204620928"/>
        <c:crosses val="autoZero"/>
        <c:crossBetween val="midCat"/>
      </c:valAx>
    </c:plotArea>
    <c:legend>
      <c:legendPos val="r"/>
      <c:layout>
        <c:manualLayout>
          <c:xMode val="edge"/>
          <c:yMode val="edge"/>
          <c:x val="0"/>
          <c:y val="0.84694689103512666"/>
          <c:w val="0.99877984952027776"/>
          <c:h val="0.13499209172350415"/>
        </c:manualLayout>
      </c:layout>
      <c:overlay val="0"/>
      <c:txPr>
        <a:bodyPr/>
        <a:lstStyle/>
        <a:p>
          <a:pPr>
            <a:defRPr sz="700" b="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7E1B-4BB2-4CF9-8C1F-49D8443E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SRF 2011.dot</Template>
  <TotalTime>12</TotalTime>
  <Pages>4</Pages>
  <Words>1615</Words>
  <Characters>9207</Characters>
  <Application>Microsoft Office Word</Application>
  <DocSecurity>0</DocSecurity>
  <Lines>76</Lines>
  <Paragraphs>21</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DESY</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Matheisen, Axel</dc:creator>
  <cp:lastModifiedBy>test</cp:lastModifiedBy>
  <cp:revision>13</cp:revision>
  <cp:lastPrinted>2013-09-23T08:44:00Z</cp:lastPrinted>
  <dcterms:created xsi:type="dcterms:W3CDTF">2013-09-23T08:19:00Z</dcterms:created>
  <dcterms:modified xsi:type="dcterms:W3CDTF">2013-09-23T11:21:00Z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